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437B0" w14:textId="5E6D8882" w:rsidR="001554EB" w:rsidRDefault="00735FC8">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VTS57-</w:t>
      </w:r>
      <w:r w:rsidR="008C7757">
        <w:rPr>
          <w:rFonts w:ascii="Calibri" w:hAnsi="Calibri"/>
        </w:rPr>
        <w:t>8.1.1</w:t>
      </w:r>
    </w:p>
    <w:p w14:paraId="21E91CA7" w14:textId="77777777" w:rsidR="001554EB" w:rsidRDefault="001554EB">
      <w:pPr>
        <w:pStyle w:val="BodyText"/>
        <w:tabs>
          <w:tab w:val="left" w:pos="2835"/>
        </w:tabs>
        <w:rPr>
          <w:rFonts w:ascii="Calibri" w:hAnsi="Calibri"/>
        </w:rPr>
      </w:pPr>
    </w:p>
    <w:p w14:paraId="06FCF19D" w14:textId="77777777" w:rsidR="001554EB" w:rsidRDefault="001554EB">
      <w:pPr>
        <w:pStyle w:val="BodyText"/>
        <w:tabs>
          <w:tab w:val="left" w:pos="2835"/>
        </w:tabs>
        <w:rPr>
          <w:rFonts w:ascii="Calibri" w:hAnsi="Calibri"/>
        </w:rPr>
      </w:pPr>
    </w:p>
    <w:p w14:paraId="30CDB754" w14:textId="77777777" w:rsidR="001554EB" w:rsidRDefault="00735FC8">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5EFEDA32" w14:textId="77777777" w:rsidR="001554EB" w:rsidRDefault="00735FC8">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Input</w:t>
      </w:r>
    </w:p>
    <w:p w14:paraId="72059158" w14:textId="77777777" w:rsidR="001554EB" w:rsidRDefault="00735FC8">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ENAV</w:t>
      </w:r>
      <w:r>
        <w:rPr>
          <w:rFonts w:ascii="Calibri" w:hAnsi="Calibri" w:cs="Arial"/>
          <w:b/>
          <w:sz w:val="24"/>
          <w:szCs w:val="24"/>
        </w:rPr>
        <w:tab/>
        <w:t>X</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5AA5CD5C" w14:textId="77777777" w:rsidR="001554EB" w:rsidRDefault="001554EB">
      <w:pPr>
        <w:pStyle w:val="BodyText"/>
        <w:tabs>
          <w:tab w:val="left" w:pos="2835"/>
        </w:tabs>
        <w:rPr>
          <w:rFonts w:ascii="Calibri" w:hAnsi="Calibri"/>
        </w:rPr>
      </w:pPr>
    </w:p>
    <w:p w14:paraId="25C42DF2" w14:textId="48EFF9DC" w:rsidR="001554EB" w:rsidRDefault="00735FC8">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sidR="008C7757">
        <w:rPr>
          <w:rFonts w:ascii="Calibri" w:hAnsi="Calibri"/>
        </w:rPr>
        <w:t>8.1</w:t>
      </w:r>
    </w:p>
    <w:p w14:paraId="7223697D" w14:textId="5A9D89F9" w:rsidR="001554EB" w:rsidRDefault="00735FC8">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1.1.4</w:t>
      </w:r>
    </w:p>
    <w:p w14:paraId="5392D2AD" w14:textId="77777777" w:rsidR="001554EB" w:rsidRDefault="00735FC8">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China Maritime Safety Administration</w:t>
      </w:r>
    </w:p>
    <w:p w14:paraId="42A910D6" w14:textId="77777777" w:rsidR="001554EB" w:rsidRDefault="001554EB">
      <w:pPr>
        <w:pStyle w:val="BodyText"/>
        <w:tabs>
          <w:tab w:val="left" w:pos="2835"/>
        </w:tabs>
        <w:rPr>
          <w:rFonts w:ascii="Calibri" w:hAnsi="Calibri"/>
        </w:rPr>
      </w:pPr>
    </w:p>
    <w:p w14:paraId="6AF7C159" w14:textId="77777777" w:rsidR="001554EB" w:rsidRDefault="00735FC8">
      <w:pPr>
        <w:pStyle w:val="Title"/>
        <w:rPr>
          <w:rFonts w:ascii="Calibri" w:hAnsi="Calibri"/>
          <w:color w:val="0070C0"/>
        </w:rPr>
      </w:pPr>
      <w:r>
        <w:rPr>
          <w:rFonts w:ascii="Calibri" w:hAnsi="Calibri"/>
          <w:color w:val="0070C0"/>
        </w:rPr>
        <w:t>Proposal for Developing Guidance on Delineating the VTS Area</w:t>
      </w:r>
    </w:p>
    <w:p w14:paraId="3DC16AD8" w14:textId="77777777" w:rsidR="001554EB" w:rsidRDefault="00735FC8">
      <w:pPr>
        <w:pStyle w:val="Heading1"/>
      </w:pPr>
      <w:r>
        <w:t>Summary</w:t>
      </w:r>
    </w:p>
    <w:p w14:paraId="402CAF85" w14:textId="700D9B4B" w:rsidR="001554EB" w:rsidRDefault="00735FC8">
      <w:pPr>
        <w:pStyle w:val="BodyText"/>
        <w:jc w:val="left"/>
        <w:rPr>
          <w:rFonts w:ascii="Calibri" w:hAnsi="Calibri"/>
          <w:lang w:val="en-US" w:eastAsia="zh-CN"/>
        </w:rPr>
      </w:pPr>
      <w:r>
        <w:rPr>
          <w:rFonts w:ascii="Calibri" w:hAnsi="Calibri" w:hint="eastAsia"/>
        </w:rPr>
        <w:t xml:space="preserve">As </w:t>
      </w:r>
      <w:r>
        <w:rPr>
          <w:rFonts w:ascii="Calibri" w:hAnsi="Calibri"/>
          <w:lang w:val="en-US" w:eastAsia="zh-CN"/>
        </w:rPr>
        <w:t>“</w:t>
      </w:r>
      <w:r>
        <w:rPr>
          <w:rFonts w:ascii="Calibri" w:hAnsi="Calibri" w:hint="eastAsia"/>
        </w:rPr>
        <w:t>Developing Guidance on Delineating the VTS Area</w:t>
      </w:r>
      <w:r>
        <w:rPr>
          <w:rFonts w:ascii="Calibri" w:hAnsi="Calibri"/>
          <w:lang w:val="en-US" w:eastAsia="zh-CN"/>
        </w:rPr>
        <w:t>”</w:t>
      </w:r>
      <w:r>
        <w:rPr>
          <w:rFonts w:ascii="Calibri" w:hAnsi="Calibri" w:hint="eastAsia"/>
          <w:lang w:val="en-US" w:eastAsia="zh-CN"/>
        </w:rPr>
        <w:t xml:space="preserve"> </w:t>
      </w:r>
      <w:r>
        <w:rPr>
          <w:rFonts w:ascii="Calibri" w:hAnsi="Calibri" w:hint="eastAsia"/>
        </w:rPr>
        <w:t xml:space="preserve">is outlined in the IALA VTS Committee's 2023-2027 work plan, this paper discusses the need to develop the </w:t>
      </w:r>
      <w:r>
        <w:rPr>
          <w:rFonts w:ascii="Calibri" w:hAnsi="Calibri"/>
          <w:lang w:val="en-US" w:eastAsia="zh-CN"/>
        </w:rPr>
        <w:t>“</w:t>
      </w:r>
      <w:r>
        <w:rPr>
          <w:rFonts w:ascii="Calibri" w:hAnsi="Calibri" w:hint="eastAsia"/>
        </w:rPr>
        <w:t>Guidelines on Delineating the VTS Area (hereinafter referred to as the Guidelines)</w:t>
      </w:r>
      <w:r>
        <w:rPr>
          <w:rFonts w:ascii="Calibri" w:hAnsi="Calibri"/>
          <w:lang w:val="en-US" w:eastAsia="zh-CN"/>
        </w:rPr>
        <w:t>”</w:t>
      </w:r>
      <w:r>
        <w:rPr>
          <w:rFonts w:ascii="Calibri" w:hAnsi="Calibri" w:hint="eastAsia"/>
        </w:rPr>
        <w:t>, as well as the principles and considerations for developing the Guidelines and proposes recommended framework and content of the Guidelines. A draft version of the Guidelines is provided in the Annex</w:t>
      </w:r>
      <w:r>
        <w:rPr>
          <w:rFonts w:ascii="Calibri" w:hAnsi="Calibri" w:hint="eastAsia"/>
          <w:lang w:val="en-US" w:eastAsia="zh-CN"/>
        </w:rPr>
        <w:t>.</w:t>
      </w:r>
    </w:p>
    <w:p w14:paraId="0D564CFF" w14:textId="77777777" w:rsidR="001554EB" w:rsidRDefault="00735FC8">
      <w:pPr>
        <w:pStyle w:val="Heading2"/>
      </w:pPr>
      <w:r>
        <w:t>Purpose of the document</w:t>
      </w:r>
    </w:p>
    <w:p w14:paraId="42D497A5" w14:textId="77777777" w:rsidR="001554EB" w:rsidRDefault="00735FC8">
      <w:pPr>
        <w:pStyle w:val="BodyText"/>
        <w:rPr>
          <w:rFonts w:ascii="Calibri" w:hAnsi="Calibri"/>
        </w:rPr>
      </w:pPr>
      <w:r>
        <w:rPr>
          <w:rFonts w:ascii="Calibri" w:hAnsi="Calibri" w:hint="eastAsia"/>
        </w:rPr>
        <w:t>The purpose of this document is to provide reference and recommendations to support the IALA VTS Committee in developing Guidance on Delineating the VTS Area.</w:t>
      </w:r>
    </w:p>
    <w:p w14:paraId="70CA79F1" w14:textId="77777777" w:rsidR="001554EB" w:rsidRDefault="00735FC8">
      <w:pPr>
        <w:pStyle w:val="Heading2"/>
      </w:pPr>
      <w:r>
        <w:t>Related documents</w:t>
      </w:r>
    </w:p>
    <w:p w14:paraId="22B50D10" w14:textId="77777777" w:rsidR="001554EB" w:rsidRDefault="00735FC8">
      <w:pPr>
        <w:pStyle w:val="BodyText"/>
        <w:jc w:val="left"/>
        <w:rPr>
          <w:rFonts w:ascii="Calibri" w:hAnsi="Calibri"/>
        </w:rPr>
      </w:pPr>
      <w:r>
        <w:rPr>
          <w:rFonts w:ascii="Calibri" w:hAnsi="Calibri" w:hint="eastAsia"/>
        </w:rPr>
        <w:t xml:space="preserve">VTS53-12.1.1 VTS Committee Task Plan </w:t>
      </w:r>
      <w:r>
        <w:rPr>
          <w:rFonts w:ascii="Calibri" w:hAnsi="Calibri" w:hint="eastAsia"/>
          <w:lang w:val="en-US" w:eastAsia="zh-CN"/>
        </w:rPr>
        <w:t xml:space="preserve">for </w:t>
      </w:r>
      <w:r>
        <w:rPr>
          <w:rFonts w:ascii="Calibri" w:hAnsi="Calibri" w:hint="eastAsia"/>
        </w:rPr>
        <w:t>2023-2027</w:t>
      </w:r>
    </w:p>
    <w:p w14:paraId="16C2D1B1" w14:textId="77777777" w:rsidR="001554EB" w:rsidRDefault="00735FC8">
      <w:pPr>
        <w:pStyle w:val="BodyText"/>
        <w:jc w:val="left"/>
        <w:rPr>
          <w:rFonts w:ascii="Calibri" w:hAnsi="Calibri"/>
        </w:rPr>
      </w:pPr>
      <w:r>
        <w:rPr>
          <w:rFonts w:ascii="Calibri" w:hAnsi="Calibri" w:hint="eastAsia"/>
        </w:rPr>
        <w:t>VTS53-12.1.2 VTS Committee Task Register for 2023-2027</w:t>
      </w:r>
    </w:p>
    <w:p w14:paraId="4AF33397" w14:textId="77777777" w:rsidR="001554EB" w:rsidRDefault="00735FC8">
      <w:pPr>
        <w:pStyle w:val="BodyText"/>
        <w:jc w:val="left"/>
        <w:rPr>
          <w:rFonts w:ascii="Calibri" w:hAnsi="Calibri"/>
        </w:rPr>
      </w:pPr>
      <w:r>
        <w:rPr>
          <w:rFonts w:ascii="Calibri" w:hAnsi="Calibri" w:hint="eastAsia"/>
        </w:rPr>
        <w:t>G1150 Ed3.1 Establishment, Planning and Implementation a VTS</w:t>
      </w:r>
    </w:p>
    <w:p w14:paraId="6F0EFBD9" w14:textId="77777777" w:rsidR="001554EB" w:rsidRDefault="00735FC8">
      <w:pPr>
        <w:pStyle w:val="BodyText"/>
        <w:jc w:val="left"/>
        <w:rPr>
          <w:rFonts w:ascii="Calibri" w:hAnsi="Calibri"/>
        </w:rPr>
      </w:pPr>
      <w:r>
        <w:rPr>
          <w:rFonts w:ascii="Calibri" w:hAnsi="Calibri" w:hint="eastAsia"/>
        </w:rPr>
        <w:t>IMO Resolution A.1158(32) Guidelines for Vessel Traffic Services</w:t>
      </w:r>
    </w:p>
    <w:p w14:paraId="2CE0A56D" w14:textId="77777777" w:rsidR="001554EB" w:rsidRDefault="00735FC8">
      <w:pPr>
        <w:pStyle w:val="Heading1"/>
      </w:pPr>
      <w:r>
        <w:t>Background</w:t>
      </w:r>
    </w:p>
    <w:p w14:paraId="41370829" w14:textId="16EF4D51" w:rsidR="001554EB" w:rsidRDefault="00735FC8">
      <w:pPr>
        <w:pStyle w:val="BodyText"/>
        <w:rPr>
          <w:rFonts w:ascii="Calibri" w:hAnsi="Calibri"/>
        </w:rPr>
      </w:pPr>
      <w:r>
        <w:rPr>
          <w:rFonts w:ascii="Calibri" w:hAnsi="Calibri"/>
          <w:lang w:eastAsia="de-DE"/>
        </w:rPr>
        <w:t>IMO</w:t>
      </w:r>
      <w:r>
        <w:rPr>
          <w:rFonts w:ascii="Calibri" w:hAnsi="Calibri" w:hint="eastAsia"/>
          <w:lang w:val="en-US" w:eastAsia="zh-CN"/>
        </w:rPr>
        <w:t xml:space="preserve"> </w:t>
      </w:r>
      <w:r>
        <w:rPr>
          <w:rFonts w:ascii="Calibri" w:hAnsi="Calibri"/>
          <w:lang w:val="en-US" w:eastAsia="zh-CN"/>
        </w:rPr>
        <w:t>R</w:t>
      </w:r>
      <w:r>
        <w:rPr>
          <w:rFonts w:ascii="Calibri" w:hAnsi="Calibri" w:hint="eastAsia"/>
          <w:lang w:val="en-US" w:eastAsia="zh-CN"/>
        </w:rPr>
        <w:t xml:space="preserve">esolution A.1158(32) Guidelines for Vessel Traffic Services </w:t>
      </w:r>
      <w:r>
        <w:rPr>
          <w:rFonts w:ascii="Calibri" w:hAnsi="Calibri"/>
        </w:rPr>
        <w:t>states that “VTS area means the delineated, formally declared area for which the VTS provider is authorized to deliver vessel traffic services</w:t>
      </w:r>
      <w:r>
        <w:rPr>
          <w:rFonts w:ascii="Calibri" w:hAnsi="Calibri" w:hint="eastAsia"/>
          <w:lang w:val="en-US" w:eastAsia="zh-CN"/>
        </w:rPr>
        <w:t>.</w:t>
      </w:r>
      <w:r>
        <w:rPr>
          <w:rFonts w:ascii="Calibri" w:hAnsi="Calibri"/>
          <w:lang w:val="en-US" w:eastAsia="zh-CN"/>
        </w:rPr>
        <w:t xml:space="preserve"> </w:t>
      </w:r>
      <w:r>
        <w:rPr>
          <w:rFonts w:ascii="Calibri" w:hAnsi="Calibri"/>
          <w:lang w:val="en-US" w:eastAsia="de-DE"/>
        </w:rPr>
        <w:t>The competent authority for VTS should authorize VTS providers to operate VTS within a delineated VTS area.</w:t>
      </w:r>
      <w:r>
        <w:rPr>
          <w:rFonts w:ascii="Calibri" w:hAnsi="Calibri"/>
        </w:rPr>
        <w:t>”</w:t>
      </w:r>
      <w:r>
        <w:rPr>
          <w:rFonts w:ascii="Calibri" w:hAnsi="Calibri" w:hint="eastAsia"/>
          <w:lang w:val="en-US" w:eastAsia="zh-CN"/>
        </w:rPr>
        <w:t xml:space="preserve"> </w:t>
      </w:r>
      <w:r>
        <w:rPr>
          <w:rFonts w:ascii="Calibri" w:hAnsi="Calibri"/>
        </w:rPr>
        <w:t xml:space="preserve">The rationality of delineating the VTS area is crucial to the </w:t>
      </w:r>
      <w:r>
        <w:rPr>
          <w:rFonts w:ascii="Calibri" w:hAnsi="Calibri"/>
          <w:lang w:val="en-US" w:eastAsia="de-DE"/>
        </w:rPr>
        <w:t>effective</w:t>
      </w:r>
      <w:r>
        <w:rPr>
          <w:rFonts w:ascii="Calibri" w:hAnsi="Calibri" w:hint="eastAsia"/>
          <w:lang w:val="en-US" w:eastAsia="zh-CN"/>
        </w:rPr>
        <w:t xml:space="preserve"> </w:t>
      </w:r>
      <w:r>
        <w:rPr>
          <w:rFonts w:ascii="Calibri" w:hAnsi="Calibri"/>
        </w:rPr>
        <w:t xml:space="preserve">functioning of VTS. </w:t>
      </w:r>
      <w:r>
        <w:rPr>
          <w:rFonts w:ascii="Calibri" w:hAnsi="Calibri"/>
          <w:lang w:val="en-US" w:eastAsia="de-DE"/>
        </w:rPr>
        <w:t>While</w:t>
      </w:r>
      <w:r>
        <w:rPr>
          <w:rFonts w:ascii="Calibri" w:hAnsi="Calibri"/>
        </w:rPr>
        <w:t xml:space="preserve"> the IALA G1150 has provided some guidance on the establishment, planning and implementation of VTS, </w:t>
      </w:r>
      <w:r>
        <w:rPr>
          <w:rFonts w:ascii="Calibri" w:hAnsi="Calibri" w:hint="eastAsia"/>
        </w:rPr>
        <w:t>there is currently no systematic or comprehensive guiding document on the scientific and rational delineation of the VTS area. As a result, countries and regions tend to rely on their own standards and experiences, leading to inconsistencies in practice and potential risks to navigation.</w:t>
      </w:r>
    </w:p>
    <w:p w14:paraId="7740E442" w14:textId="5DE66141" w:rsidR="001554EB" w:rsidRDefault="00735FC8">
      <w:pPr>
        <w:pStyle w:val="BodyText"/>
        <w:rPr>
          <w:rFonts w:ascii="Calibri" w:hAnsi="Calibri"/>
          <w:lang w:eastAsia="de-DE"/>
        </w:rPr>
      </w:pPr>
      <w:r>
        <w:rPr>
          <w:rFonts w:ascii="Calibri" w:hAnsi="Calibri" w:hint="eastAsia"/>
          <w:lang w:val="en-US" w:eastAsia="zh-CN"/>
        </w:rPr>
        <w:t>A</w:t>
      </w:r>
      <w:r>
        <w:rPr>
          <w:rFonts w:ascii="Calibri" w:hAnsi="Calibri"/>
          <w:lang w:val="en-US" w:eastAsia="de-DE"/>
        </w:rPr>
        <w:t xml:space="preserve">s a key </w:t>
      </w:r>
      <w:r>
        <w:rPr>
          <w:rFonts w:ascii="Calibri" w:hAnsi="Calibri"/>
          <w:lang w:eastAsia="de-DE"/>
        </w:rPr>
        <w:t xml:space="preserve">contributor </w:t>
      </w:r>
      <w:r>
        <w:rPr>
          <w:rFonts w:ascii="Calibri" w:hAnsi="Calibri" w:hint="eastAsia"/>
          <w:lang w:val="en-US"/>
        </w:rPr>
        <w:t>in</w:t>
      </w:r>
      <w:r>
        <w:rPr>
          <w:rFonts w:ascii="Calibri" w:hAnsi="Calibri"/>
          <w:lang w:eastAsia="de-DE"/>
        </w:rPr>
        <w:t xml:space="preserve"> assisting the IMO in fulfilling its roles and responsibilities </w:t>
      </w:r>
      <w:r>
        <w:rPr>
          <w:rFonts w:ascii="Calibri" w:hAnsi="Calibri"/>
          <w:lang w:val="en-US" w:eastAsia="de-DE"/>
        </w:rPr>
        <w:t>relating</w:t>
      </w:r>
      <w:r>
        <w:rPr>
          <w:rFonts w:ascii="Calibri" w:hAnsi="Calibri"/>
          <w:lang w:eastAsia="de-DE"/>
        </w:rPr>
        <w:t xml:space="preserve"> to VTS systems, </w:t>
      </w:r>
      <w:r>
        <w:rPr>
          <w:rFonts w:ascii="Calibri" w:hAnsi="Calibri"/>
          <w:lang w:val="en-US" w:eastAsia="de-DE"/>
        </w:rPr>
        <w:t>IALA is well-positioned to develop</w:t>
      </w:r>
      <w:r>
        <w:rPr>
          <w:rFonts w:ascii="Calibri" w:hAnsi="Calibri"/>
          <w:lang w:eastAsia="de-DE"/>
        </w:rPr>
        <w:t xml:space="preserve"> “</w:t>
      </w:r>
      <w:r>
        <w:rPr>
          <w:rFonts w:ascii="Calibri" w:hAnsi="Calibri"/>
          <w:lang w:val="en-US" w:eastAsia="de-DE"/>
        </w:rPr>
        <w:t>Guidelines</w:t>
      </w:r>
      <w:r>
        <w:rPr>
          <w:rFonts w:ascii="Calibri" w:hAnsi="Calibri"/>
          <w:lang w:eastAsia="de-DE"/>
        </w:rPr>
        <w:t xml:space="preserve"> on Delineating the VTS Area”</w:t>
      </w:r>
      <w:r>
        <w:rPr>
          <w:rFonts w:ascii="Calibri" w:hAnsi="Calibri"/>
          <w:lang w:val="en-US" w:eastAsia="de-DE"/>
        </w:rPr>
        <w:t xml:space="preserve">. Such guidelines will serve as a </w:t>
      </w:r>
      <w:r>
        <w:rPr>
          <w:rFonts w:ascii="Calibri" w:hAnsi="Calibri"/>
          <w:lang w:eastAsia="de-DE"/>
        </w:rPr>
        <w:lastRenderedPageBreak/>
        <w:t xml:space="preserve">reference </w:t>
      </w:r>
      <w:r>
        <w:rPr>
          <w:rFonts w:ascii="Calibri" w:hAnsi="Calibri"/>
          <w:lang w:val="en-US" w:eastAsia="de-DE"/>
        </w:rPr>
        <w:t>for</w:t>
      </w:r>
      <w:r>
        <w:rPr>
          <w:rFonts w:ascii="Calibri" w:hAnsi="Calibri"/>
          <w:lang w:eastAsia="de-DE"/>
        </w:rPr>
        <w:t xml:space="preserve"> </w:t>
      </w:r>
      <w:r>
        <w:rPr>
          <w:rFonts w:ascii="Calibri" w:hAnsi="Calibri"/>
          <w:lang w:val="en-US" w:eastAsia="de-DE"/>
        </w:rPr>
        <w:t>competent authorit</w:t>
      </w:r>
      <w:r w:rsidR="0087698D">
        <w:rPr>
          <w:rFonts w:ascii="Calibri" w:hAnsi="Calibri"/>
          <w:lang w:val="en-US" w:eastAsia="de-DE"/>
        </w:rPr>
        <w:t>ies</w:t>
      </w:r>
      <w:r>
        <w:rPr>
          <w:rFonts w:ascii="Calibri" w:hAnsi="Calibri"/>
          <w:lang w:val="en-US" w:eastAsia="de-DE"/>
        </w:rPr>
        <w:t xml:space="preserve"> for VTS</w:t>
      </w:r>
      <w:r>
        <w:rPr>
          <w:rFonts w:ascii="Calibri" w:hAnsi="Calibri"/>
          <w:lang w:eastAsia="de-DE"/>
        </w:rPr>
        <w:t xml:space="preserve"> and </w:t>
      </w:r>
      <w:r>
        <w:rPr>
          <w:rFonts w:ascii="Calibri" w:hAnsi="Calibri" w:hint="eastAsia"/>
          <w:lang w:val="en-US" w:eastAsia="zh-CN"/>
        </w:rPr>
        <w:t xml:space="preserve">VTS </w:t>
      </w:r>
      <w:r>
        <w:rPr>
          <w:rFonts w:ascii="Calibri" w:hAnsi="Calibri"/>
          <w:lang w:eastAsia="de-DE"/>
        </w:rPr>
        <w:t>providers around the world</w:t>
      </w:r>
      <w:r>
        <w:rPr>
          <w:rFonts w:ascii="Calibri" w:hAnsi="Calibri"/>
          <w:lang w:val="en-US" w:eastAsia="de-DE"/>
        </w:rPr>
        <w:t>, essentially promoting</w:t>
      </w:r>
      <w:r>
        <w:rPr>
          <w:rFonts w:ascii="Calibri" w:hAnsi="Calibri"/>
          <w:lang w:eastAsia="de-DE"/>
        </w:rPr>
        <w:t xml:space="preserve"> </w:t>
      </w:r>
      <w:r>
        <w:rPr>
          <w:rFonts w:ascii="Calibri" w:hAnsi="Calibri"/>
          <w:lang w:val="en-US" w:eastAsia="de-DE"/>
        </w:rPr>
        <w:t xml:space="preserve">global </w:t>
      </w:r>
      <w:proofErr w:type="spellStart"/>
      <w:r>
        <w:rPr>
          <w:rFonts w:ascii="Calibri" w:hAnsi="Calibri"/>
          <w:lang w:eastAsia="de-DE"/>
        </w:rPr>
        <w:t>co</w:t>
      </w:r>
      <w:r>
        <w:rPr>
          <w:rFonts w:ascii="Calibri" w:hAnsi="Calibri" w:hint="eastAsia"/>
          <w:lang w:eastAsia="zh-CN"/>
        </w:rPr>
        <w:t>o</w:t>
      </w:r>
      <w:r>
        <w:rPr>
          <w:rFonts w:ascii="Calibri" w:hAnsi="Calibri"/>
          <w:lang w:eastAsia="de-DE"/>
        </w:rPr>
        <w:t>rdinat</w:t>
      </w:r>
      <w:proofErr w:type="spellEnd"/>
      <w:r>
        <w:rPr>
          <w:rFonts w:ascii="Calibri" w:hAnsi="Calibri"/>
          <w:lang w:val="en-US" w:eastAsia="de-DE"/>
        </w:rPr>
        <w:t>ion and consistency in</w:t>
      </w:r>
      <w:r>
        <w:rPr>
          <w:rFonts w:ascii="Calibri" w:hAnsi="Calibri"/>
          <w:lang w:eastAsia="de-DE"/>
        </w:rPr>
        <w:t xml:space="preserve"> VTS </w:t>
      </w:r>
      <w:r>
        <w:rPr>
          <w:rFonts w:ascii="Calibri" w:hAnsi="Calibri"/>
          <w:lang w:val="en-US" w:eastAsia="de-DE"/>
        </w:rPr>
        <w:t xml:space="preserve">operations </w:t>
      </w:r>
      <w:r>
        <w:rPr>
          <w:rFonts w:ascii="Calibri" w:hAnsi="Calibri"/>
          <w:lang w:eastAsia="de-DE"/>
        </w:rPr>
        <w:t>worldwide.</w:t>
      </w:r>
    </w:p>
    <w:p w14:paraId="0F81B03D" w14:textId="77777777" w:rsidR="001554EB" w:rsidRDefault="00735FC8">
      <w:pPr>
        <w:pStyle w:val="Heading1"/>
      </w:pPr>
      <w:r>
        <w:t>Discussion</w:t>
      </w:r>
    </w:p>
    <w:p w14:paraId="7D52DC2A" w14:textId="77777777" w:rsidR="001554EB" w:rsidRDefault="00735FC8">
      <w:pPr>
        <w:pStyle w:val="Heading2"/>
      </w:pPr>
      <w:r>
        <w:t>Necessity of the Guidelines</w:t>
      </w:r>
    </w:p>
    <w:p w14:paraId="6ED52673" w14:textId="550B797E" w:rsidR="001554EB" w:rsidRDefault="00735FC8">
      <w:pPr>
        <w:pStyle w:val="BodyText"/>
        <w:rPr>
          <w:rFonts w:ascii="Calibri" w:hAnsi="Calibri"/>
        </w:rPr>
      </w:pPr>
      <w:r>
        <w:rPr>
          <w:rFonts w:ascii="Calibri" w:hAnsi="Calibri"/>
        </w:rPr>
        <w:t>1</w:t>
      </w:r>
      <w:r>
        <w:rPr>
          <w:rFonts w:ascii="Calibri" w:hAnsi="Calibri"/>
        </w:rPr>
        <w:tab/>
        <w:t xml:space="preserve">Promoting coordination and consistency in </w:t>
      </w:r>
      <w:proofErr w:type="spellStart"/>
      <w:r>
        <w:rPr>
          <w:rFonts w:ascii="Calibri" w:eastAsia="MS Mincho" w:hAnsi="Calibri"/>
          <w:lang w:eastAsia="ja-JP"/>
        </w:rPr>
        <w:t>delineati</w:t>
      </w:r>
      <w:proofErr w:type="spellEnd"/>
      <w:r>
        <w:rPr>
          <w:rFonts w:ascii="Calibri" w:eastAsia="MS Mincho" w:hAnsi="Calibri"/>
          <w:lang w:val="en-US" w:eastAsia="ja-JP"/>
        </w:rPr>
        <w:t xml:space="preserve">ng the </w:t>
      </w:r>
      <w:r>
        <w:rPr>
          <w:rFonts w:ascii="Calibri" w:eastAsia="MS Mincho" w:hAnsi="Calibri"/>
          <w:lang w:eastAsia="ja-JP"/>
        </w:rPr>
        <w:t>VTS area</w:t>
      </w:r>
    </w:p>
    <w:p w14:paraId="0230F8E6" w14:textId="1F1FFACE" w:rsidR="001554EB" w:rsidRDefault="00735FC8">
      <w:pPr>
        <w:pStyle w:val="BodyText"/>
        <w:rPr>
          <w:rFonts w:ascii="Calibri" w:hAnsi="Calibri"/>
        </w:rPr>
      </w:pPr>
      <w:r>
        <w:rPr>
          <w:rFonts w:ascii="Calibri" w:hAnsi="Calibri" w:hint="eastAsia"/>
        </w:rPr>
        <w:t xml:space="preserve">Differences in the established standards for delineating and managing the VTS area by </w:t>
      </w:r>
      <w:r>
        <w:rPr>
          <w:rFonts w:ascii="Calibri" w:hAnsi="Calibri"/>
          <w:lang w:val="en-US" w:eastAsia="de-DE"/>
        </w:rPr>
        <w:t>competent authorit</w:t>
      </w:r>
      <w:r w:rsidR="006860F7">
        <w:rPr>
          <w:rFonts w:ascii="Calibri" w:hAnsi="Calibri"/>
          <w:lang w:val="en-US" w:eastAsia="de-DE"/>
        </w:rPr>
        <w:t>ies</w:t>
      </w:r>
      <w:r>
        <w:rPr>
          <w:rFonts w:ascii="Calibri" w:hAnsi="Calibri"/>
          <w:lang w:val="en-US" w:eastAsia="de-DE"/>
        </w:rPr>
        <w:t xml:space="preserve"> for VTS</w:t>
      </w:r>
      <w:r>
        <w:rPr>
          <w:rFonts w:ascii="Calibri" w:hAnsi="Calibri"/>
          <w:lang w:eastAsia="de-DE"/>
        </w:rPr>
        <w:t xml:space="preserve"> and </w:t>
      </w:r>
      <w:r>
        <w:rPr>
          <w:rFonts w:ascii="Calibri" w:hAnsi="Calibri" w:hint="eastAsia"/>
          <w:lang w:val="en-US" w:eastAsia="zh-CN"/>
        </w:rPr>
        <w:t xml:space="preserve">VTS </w:t>
      </w:r>
      <w:r>
        <w:rPr>
          <w:rFonts w:ascii="Calibri" w:hAnsi="Calibri"/>
          <w:lang w:eastAsia="de-DE"/>
        </w:rPr>
        <w:t>providers</w:t>
      </w:r>
      <w:r>
        <w:rPr>
          <w:rFonts w:ascii="Calibri" w:hAnsi="Calibri" w:hint="eastAsia"/>
        </w:rPr>
        <w:t xml:space="preserve"> across the world may create challenges for ships, especially when such differences relate to the management of ships in VTS areas. The Guidelines will establish uniform standards and principles, enhancing global coordination and consistency.</w:t>
      </w:r>
    </w:p>
    <w:p w14:paraId="2BC9516B" w14:textId="77777777" w:rsidR="001554EB" w:rsidRDefault="00735FC8">
      <w:pPr>
        <w:pStyle w:val="BodyText"/>
        <w:rPr>
          <w:rFonts w:ascii="Calibri" w:hAnsi="Calibri"/>
        </w:rPr>
      </w:pPr>
      <w:r>
        <w:rPr>
          <w:rFonts w:ascii="Calibri" w:hAnsi="Calibri"/>
        </w:rPr>
        <w:t>2</w:t>
      </w:r>
      <w:r>
        <w:rPr>
          <w:rFonts w:ascii="Calibri" w:hAnsi="Calibri"/>
        </w:rPr>
        <w:tab/>
        <w:t>Improving the efficiency and safety of ship navigation</w:t>
      </w:r>
    </w:p>
    <w:p w14:paraId="654542BF" w14:textId="734406A8" w:rsidR="001554EB" w:rsidRDefault="00735FC8">
      <w:pPr>
        <w:pStyle w:val="BodyText"/>
        <w:rPr>
          <w:rFonts w:ascii="Calibri" w:hAnsi="Calibri"/>
          <w:lang w:eastAsia="de-DE"/>
        </w:rPr>
      </w:pPr>
      <w:r>
        <w:rPr>
          <w:rFonts w:ascii="Calibri" w:hAnsi="Calibri"/>
          <w:lang w:eastAsia="de-DE"/>
        </w:rPr>
        <w:t>The unified operational guidelines based on scientific analysis and assessment will take more comprehensive consideration of factors affecting navigation</w:t>
      </w:r>
      <w:r>
        <w:rPr>
          <w:rFonts w:ascii="Calibri" w:hAnsi="Calibri"/>
          <w:lang w:val="en-US" w:eastAsia="de-DE"/>
        </w:rPr>
        <w:t>al</w:t>
      </w:r>
      <w:r>
        <w:rPr>
          <w:rFonts w:ascii="Calibri" w:hAnsi="Calibri"/>
          <w:lang w:eastAsia="de-DE"/>
        </w:rPr>
        <w:t xml:space="preserve"> safety, environmental protection and the effectiveness of emergency response, making the scope of the </w:t>
      </w:r>
      <w:r w:rsidR="00AD4CBC">
        <w:rPr>
          <w:rFonts w:ascii="Calibri" w:hAnsi="Calibri"/>
          <w:lang w:eastAsia="de-DE"/>
        </w:rPr>
        <w:t xml:space="preserve">VTS </w:t>
      </w:r>
      <w:r>
        <w:rPr>
          <w:rFonts w:ascii="Calibri" w:hAnsi="Calibri"/>
          <w:lang w:eastAsia="de-DE"/>
        </w:rPr>
        <w:t xml:space="preserve">areas and the division of each </w:t>
      </w:r>
      <w:r w:rsidR="00AD4CBC">
        <w:rPr>
          <w:rFonts w:ascii="Calibri" w:hAnsi="Calibri" w:hint="eastAsia"/>
          <w:lang w:eastAsia="zh-CN"/>
        </w:rPr>
        <w:t>sub</w:t>
      </w:r>
      <w:r w:rsidR="00AD4CBC">
        <w:rPr>
          <w:rFonts w:ascii="Calibri" w:hAnsi="Calibri"/>
          <w:lang w:eastAsia="de-DE"/>
        </w:rPr>
        <w:t>-</w:t>
      </w:r>
      <w:r>
        <w:rPr>
          <w:rFonts w:ascii="Calibri" w:hAnsi="Calibri"/>
          <w:lang w:eastAsia="de-DE"/>
        </w:rPr>
        <w:t xml:space="preserve">area </w:t>
      </w:r>
      <w:r>
        <w:rPr>
          <w:rFonts w:ascii="Calibri" w:hAnsi="Calibri"/>
          <w:lang w:val="en-US" w:eastAsia="de-DE"/>
        </w:rPr>
        <w:t>much</w:t>
      </w:r>
      <w:r>
        <w:rPr>
          <w:rFonts w:ascii="Calibri" w:hAnsi="Calibri"/>
          <w:lang w:eastAsia="de-DE"/>
        </w:rPr>
        <w:t xml:space="preserve"> reasonable. </w:t>
      </w:r>
    </w:p>
    <w:p w14:paraId="2D1E982B" w14:textId="77777777" w:rsidR="001554EB" w:rsidRDefault="00735FC8">
      <w:pPr>
        <w:pStyle w:val="BodyText"/>
        <w:rPr>
          <w:rFonts w:ascii="Calibri" w:hAnsi="Calibri"/>
        </w:rPr>
      </w:pPr>
      <w:r>
        <w:rPr>
          <w:rFonts w:ascii="Calibri" w:hAnsi="Calibri"/>
        </w:rPr>
        <w:t>3</w:t>
      </w:r>
      <w:r>
        <w:rPr>
          <w:rFonts w:ascii="Calibri" w:hAnsi="Calibri"/>
        </w:rPr>
        <w:tab/>
        <w:t>Achieving optimization of VTS regulatory resources</w:t>
      </w:r>
    </w:p>
    <w:p w14:paraId="09C069FD" w14:textId="77777777" w:rsidR="001554EB" w:rsidRDefault="00735FC8">
      <w:pPr>
        <w:pStyle w:val="BodyText"/>
        <w:rPr>
          <w:rFonts w:ascii="Calibri" w:hAnsi="Calibri"/>
        </w:rPr>
      </w:pPr>
      <w:r>
        <w:rPr>
          <w:rFonts w:ascii="Calibri" w:hAnsi="Calibri"/>
          <w:lang w:eastAsia="de-DE"/>
        </w:rPr>
        <w:t>Reasonable delineation</w:t>
      </w:r>
      <w:r>
        <w:rPr>
          <w:rFonts w:ascii="Calibri" w:hAnsi="Calibri" w:hint="eastAsia"/>
          <w:lang w:eastAsia="de-DE"/>
        </w:rPr>
        <w:t xml:space="preserve"> </w:t>
      </w:r>
      <w:r>
        <w:rPr>
          <w:rFonts w:ascii="Calibri" w:hAnsi="Calibri"/>
          <w:lang w:eastAsia="de-DE"/>
        </w:rPr>
        <w:t xml:space="preserve">of </w:t>
      </w:r>
      <w:r>
        <w:rPr>
          <w:rFonts w:ascii="Calibri" w:hAnsi="Calibri"/>
          <w:lang w:val="en-US" w:eastAsia="de-DE"/>
        </w:rPr>
        <w:t xml:space="preserve">the </w:t>
      </w:r>
      <w:r>
        <w:rPr>
          <w:rFonts w:ascii="Calibri" w:hAnsi="Calibri"/>
          <w:lang w:eastAsia="de-DE"/>
        </w:rPr>
        <w:t xml:space="preserve">VTS area helps achieve rational </w:t>
      </w:r>
      <w:r>
        <w:rPr>
          <w:rFonts w:ascii="Calibri" w:hAnsi="Calibri" w:hint="eastAsia"/>
          <w:lang w:eastAsia="de-DE"/>
        </w:rPr>
        <w:t>utilization</w:t>
      </w:r>
      <w:r>
        <w:rPr>
          <w:rFonts w:ascii="Calibri" w:hAnsi="Calibri"/>
          <w:lang w:eastAsia="de-DE"/>
        </w:rPr>
        <w:t xml:space="preserve"> of limited space resources, human resources, communication resources and other </w:t>
      </w:r>
      <w:r>
        <w:rPr>
          <w:rFonts w:ascii="Calibri" w:hAnsi="Calibri" w:hint="eastAsia"/>
          <w:lang w:val="en-US" w:eastAsia="zh-CN"/>
        </w:rPr>
        <w:t>support</w:t>
      </w:r>
      <w:r>
        <w:rPr>
          <w:rFonts w:ascii="Calibri" w:hAnsi="Calibri"/>
          <w:lang w:eastAsia="de-DE"/>
        </w:rPr>
        <w:t xml:space="preserve"> resources, in particular coordination between</w:t>
      </w:r>
      <w:r>
        <w:rPr>
          <w:rFonts w:ascii="Calibri" w:hAnsi="Calibri" w:hint="eastAsia"/>
        </w:rPr>
        <w:t xml:space="preserve"> </w:t>
      </w:r>
      <w:r>
        <w:rPr>
          <w:rFonts w:ascii="Calibri" w:hAnsi="Calibri"/>
          <w:lang w:eastAsia="de-DE"/>
        </w:rPr>
        <w:t>neighbouring VTS areas, so as to improve the operational efficiency of the VTS system</w:t>
      </w:r>
      <w:r>
        <w:rPr>
          <w:rFonts w:ascii="Calibri" w:hAnsi="Calibri"/>
        </w:rPr>
        <w:t>.</w:t>
      </w:r>
    </w:p>
    <w:p w14:paraId="35AEC383" w14:textId="77777777" w:rsidR="001554EB" w:rsidRDefault="00735FC8">
      <w:pPr>
        <w:pStyle w:val="Heading2"/>
      </w:pPr>
      <w:r>
        <w:t xml:space="preserve">Matters to be considered </w:t>
      </w:r>
    </w:p>
    <w:p w14:paraId="0C8F3FB3" w14:textId="77777777" w:rsidR="001554EB" w:rsidRDefault="00735FC8">
      <w:pPr>
        <w:pStyle w:val="BodyText"/>
        <w:rPr>
          <w:rFonts w:ascii="Calibri" w:hAnsi="Calibri"/>
        </w:rPr>
      </w:pPr>
      <w:r>
        <w:rPr>
          <w:rFonts w:ascii="Calibri" w:hAnsi="Calibri"/>
        </w:rPr>
        <w:t>1</w:t>
      </w:r>
      <w:r>
        <w:rPr>
          <w:rFonts w:ascii="Calibri" w:hAnsi="Calibri"/>
        </w:rPr>
        <w:tab/>
        <w:t>Compliance with international conventions and regulatory requirements</w:t>
      </w:r>
    </w:p>
    <w:p w14:paraId="6E8B77F6" w14:textId="75725F50" w:rsidR="001554EB" w:rsidRDefault="00735FC8">
      <w:pPr>
        <w:pStyle w:val="BodyText"/>
        <w:rPr>
          <w:rFonts w:ascii="Calibri" w:hAnsi="Calibri"/>
        </w:rPr>
      </w:pPr>
      <w:r>
        <w:rPr>
          <w:rFonts w:ascii="Calibri" w:hAnsi="Calibri"/>
          <w:lang w:eastAsia="de-DE"/>
        </w:rPr>
        <w:t>In setting the principles, procedures and specific implementation of the VTS area</w:t>
      </w:r>
      <w:r>
        <w:rPr>
          <w:rFonts w:ascii="Calibri" w:hAnsi="Calibri" w:hint="eastAsia"/>
          <w:lang w:eastAsia="de-DE"/>
        </w:rPr>
        <w:t>s</w:t>
      </w:r>
      <w:r>
        <w:rPr>
          <w:rFonts w:ascii="Calibri" w:hAnsi="Calibri"/>
          <w:lang w:eastAsia="de-DE"/>
        </w:rPr>
        <w:t>, full consideration should be given to meeting the requirements of relevant international conventions</w:t>
      </w:r>
      <w:r w:rsidR="002236FD">
        <w:rPr>
          <w:rFonts w:ascii="Calibri" w:hAnsi="Calibri"/>
          <w:lang w:eastAsia="de-DE"/>
        </w:rPr>
        <w:t xml:space="preserve">, </w:t>
      </w:r>
      <w:r>
        <w:rPr>
          <w:rFonts w:ascii="Calibri" w:hAnsi="Calibri"/>
          <w:lang w:eastAsia="de-DE"/>
        </w:rPr>
        <w:t>national laws and regulations.</w:t>
      </w:r>
    </w:p>
    <w:p w14:paraId="77861292" w14:textId="77777777" w:rsidR="001554EB" w:rsidRDefault="00735FC8">
      <w:pPr>
        <w:pStyle w:val="BodyText"/>
        <w:rPr>
          <w:rFonts w:ascii="Calibri" w:hAnsi="Calibri"/>
        </w:rPr>
      </w:pPr>
      <w:r>
        <w:rPr>
          <w:rFonts w:ascii="Calibri" w:hAnsi="Calibri"/>
        </w:rPr>
        <w:t>2</w:t>
      </w:r>
      <w:r>
        <w:rPr>
          <w:rFonts w:ascii="Calibri" w:hAnsi="Calibri"/>
        </w:rPr>
        <w:tab/>
      </w:r>
      <w:r>
        <w:rPr>
          <w:rFonts w:ascii="Calibri" w:hAnsi="Calibri" w:hint="eastAsia"/>
          <w:lang w:val="en-US" w:eastAsia="zh-CN"/>
        </w:rPr>
        <w:t>W</w:t>
      </w:r>
      <w:r>
        <w:rPr>
          <w:rFonts w:ascii="Calibri" w:hAnsi="Calibri"/>
        </w:rPr>
        <w:t xml:space="preserve">ide applicability </w:t>
      </w:r>
    </w:p>
    <w:p w14:paraId="6D837521" w14:textId="77777777" w:rsidR="001554EB" w:rsidRDefault="00735FC8">
      <w:pPr>
        <w:pStyle w:val="BodyText"/>
        <w:rPr>
          <w:rFonts w:ascii="Calibri" w:hAnsi="Calibri"/>
          <w:lang w:eastAsia="de-DE"/>
        </w:rPr>
      </w:pPr>
      <w:r>
        <w:rPr>
          <w:rFonts w:ascii="Calibri" w:hAnsi="Calibri"/>
          <w:lang w:eastAsia="de-DE"/>
        </w:rPr>
        <w:t>On one hand, differences of ports within the international scope should be fully considered, and factors with different characteristics of navigational environment and ship traffic flow should be included in the scope of the Guidelines as much as possible; on the other hand, the VTS</w:t>
      </w:r>
      <w:r>
        <w:rPr>
          <w:rFonts w:ascii="Calibri" w:hAnsi="Calibri" w:hint="eastAsia"/>
          <w:lang w:val="en-US" w:eastAsia="zh-CN"/>
        </w:rPr>
        <w:t xml:space="preserve"> </w:t>
      </w:r>
      <w:r>
        <w:rPr>
          <w:rFonts w:ascii="Calibri" w:hAnsi="Calibri"/>
          <w:lang w:eastAsia="de-DE"/>
        </w:rPr>
        <w:t xml:space="preserve">equipping </w:t>
      </w:r>
      <w:r>
        <w:rPr>
          <w:rFonts w:ascii="Calibri" w:hAnsi="Calibri"/>
          <w:lang w:val="en-US" w:eastAsia="de-DE"/>
        </w:rPr>
        <w:t xml:space="preserve">conditions, including </w:t>
      </w:r>
      <w:r>
        <w:rPr>
          <w:rFonts w:ascii="Calibri" w:hAnsi="Calibri"/>
          <w:lang w:eastAsia="de-DE"/>
        </w:rPr>
        <w:t>hardware, software, manpower and other resources</w:t>
      </w:r>
      <w:r>
        <w:rPr>
          <w:rFonts w:ascii="Calibri" w:hAnsi="Calibri"/>
          <w:lang w:val="en-US" w:eastAsia="de-DE"/>
        </w:rPr>
        <w:t>,</w:t>
      </w:r>
      <w:r>
        <w:rPr>
          <w:rFonts w:ascii="Calibri" w:hAnsi="Calibri"/>
          <w:lang w:eastAsia="de-DE"/>
        </w:rPr>
        <w:t xml:space="preserve"> should be taken into account, to ensure that the </w:t>
      </w:r>
      <w:r>
        <w:rPr>
          <w:rFonts w:ascii="Calibri" w:hAnsi="Calibri" w:hint="eastAsia"/>
          <w:lang w:eastAsia="de-DE"/>
        </w:rPr>
        <w:t>delineation</w:t>
      </w:r>
      <w:r>
        <w:rPr>
          <w:rFonts w:ascii="Calibri" w:hAnsi="Calibri"/>
          <w:lang w:eastAsia="de-DE"/>
        </w:rPr>
        <w:t xml:space="preserve"> effectively play</w:t>
      </w:r>
      <w:r>
        <w:rPr>
          <w:rFonts w:ascii="Calibri" w:hAnsi="Calibri"/>
          <w:lang w:val="en-US" w:eastAsia="de-DE"/>
        </w:rPr>
        <w:t>s</w:t>
      </w:r>
      <w:r>
        <w:rPr>
          <w:rFonts w:ascii="Calibri" w:hAnsi="Calibri"/>
          <w:lang w:eastAsia="de-DE"/>
        </w:rPr>
        <w:t xml:space="preserve"> the functions and roles of the VTS, so as to make the Guidelines </w:t>
      </w:r>
      <w:r>
        <w:rPr>
          <w:rFonts w:ascii="Calibri" w:hAnsi="Calibri"/>
          <w:lang w:val="en-US" w:eastAsia="de-DE"/>
        </w:rPr>
        <w:t>more</w:t>
      </w:r>
      <w:r>
        <w:rPr>
          <w:rFonts w:ascii="Calibri" w:hAnsi="Calibri" w:hint="eastAsia"/>
          <w:lang w:val="en-US" w:eastAsia="zh-CN"/>
        </w:rPr>
        <w:t xml:space="preserve"> </w:t>
      </w:r>
      <w:r>
        <w:rPr>
          <w:rFonts w:ascii="Calibri" w:hAnsi="Calibri" w:hint="eastAsia"/>
          <w:lang w:eastAsia="de-DE"/>
        </w:rPr>
        <w:t>broadly</w:t>
      </w:r>
      <w:r>
        <w:rPr>
          <w:rFonts w:ascii="Calibri" w:hAnsi="Calibri"/>
          <w:lang w:eastAsia="de-DE"/>
        </w:rPr>
        <w:t xml:space="preserve"> </w:t>
      </w:r>
      <w:r>
        <w:rPr>
          <w:rFonts w:ascii="Calibri" w:hAnsi="Calibri"/>
          <w:lang w:val="en-US" w:eastAsia="de-DE"/>
        </w:rPr>
        <w:t xml:space="preserve"> applicable</w:t>
      </w:r>
      <w:r>
        <w:rPr>
          <w:rFonts w:ascii="Calibri" w:hAnsi="Calibri"/>
          <w:lang w:eastAsia="de-DE"/>
        </w:rPr>
        <w:t>.</w:t>
      </w:r>
    </w:p>
    <w:p w14:paraId="67316A32" w14:textId="77777777" w:rsidR="001554EB" w:rsidRDefault="00735FC8">
      <w:pPr>
        <w:pStyle w:val="BodyText"/>
        <w:rPr>
          <w:rFonts w:ascii="Calibri" w:hAnsi="Calibri"/>
        </w:rPr>
      </w:pPr>
      <w:r>
        <w:rPr>
          <w:rFonts w:ascii="Calibri" w:hAnsi="Calibri"/>
        </w:rPr>
        <w:t>3</w:t>
      </w:r>
      <w:r>
        <w:rPr>
          <w:rFonts w:ascii="Calibri" w:hAnsi="Calibri"/>
        </w:rPr>
        <w:tab/>
      </w:r>
      <w:r>
        <w:rPr>
          <w:rFonts w:ascii="Calibri" w:hAnsi="Calibri" w:hint="eastAsia"/>
        </w:rPr>
        <w:t>Inclusion of stakeholders in port security and shipping efficiency</w:t>
      </w:r>
    </w:p>
    <w:p w14:paraId="6DC40010" w14:textId="77777777" w:rsidR="001554EB" w:rsidRDefault="00735FC8">
      <w:pPr>
        <w:pStyle w:val="BodyText"/>
        <w:rPr>
          <w:rFonts w:ascii="Calibri" w:hAnsi="Calibri"/>
          <w:lang w:eastAsia="de-DE"/>
        </w:rPr>
      </w:pPr>
      <w:r>
        <w:rPr>
          <w:rFonts w:ascii="Calibri" w:hAnsi="Calibri" w:hint="eastAsia"/>
          <w:lang w:val="en-US" w:eastAsia="zh-CN"/>
        </w:rPr>
        <w:t xml:space="preserve">Recommended </w:t>
      </w:r>
      <w:r>
        <w:rPr>
          <w:rFonts w:ascii="Calibri" w:hAnsi="Calibri"/>
          <w:lang w:eastAsia="de-DE"/>
        </w:rPr>
        <w:t xml:space="preserve">procedures and considerations for communication and consultation with stakeholders, including local port authorities, shipping companies, pilot </w:t>
      </w:r>
      <w:r>
        <w:rPr>
          <w:rFonts w:ascii="Calibri" w:hAnsi="Calibri"/>
          <w:lang w:val="en-US" w:eastAsia="de-DE"/>
        </w:rPr>
        <w:t>stations</w:t>
      </w:r>
      <w:r>
        <w:rPr>
          <w:rFonts w:ascii="Calibri" w:hAnsi="Calibri"/>
          <w:lang w:eastAsia="de-DE"/>
        </w:rPr>
        <w:t xml:space="preserve">, terminal operators, etc., should be </w:t>
      </w:r>
      <w:r>
        <w:rPr>
          <w:rFonts w:ascii="Calibri" w:hAnsi="Calibri"/>
          <w:lang w:val="en-US" w:eastAsia="de-DE"/>
        </w:rPr>
        <w:t>included</w:t>
      </w:r>
      <w:r>
        <w:rPr>
          <w:rFonts w:ascii="Calibri" w:hAnsi="Calibri"/>
          <w:lang w:eastAsia="de-DE"/>
        </w:rPr>
        <w:t xml:space="preserve"> in the Guidelines to ensure that the views of stakeholders are </w:t>
      </w:r>
      <w:r>
        <w:rPr>
          <w:rFonts w:ascii="Calibri" w:hAnsi="Calibri"/>
          <w:lang w:val="en-US" w:eastAsia="de-DE"/>
        </w:rPr>
        <w:t>considered</w:t>
      </w:r>
      <w:r>
        <w:rPr>
          <w:rFonts w:ascii="Calibri" w:hAnsi="Calibri"/>
          <w:lang w:eastAsia="de-DE"/>
        </w:rPr>
        <w:t xml:space="preserve"> and </w:t>
      </w:r>
      <w:r>
        <w:rPr>
          <w:rFonts w:ascii="Calibri" w:hAnsi="Calibri"/>
          <w:lang w:val="en-US" w:eastAsia="de-DE"/>
        </w:rPr>
        <w:t xml:space="preserve">that a </w:t>
      </w:r>
      <w:r>
        <w:rPr>
          <w:rFonts w:ascii="Calibri" w:hAnsi="Calibri"/>
          <w:lang w:eastAsia="de-DE"/>
        </w:rPr>
        <w:t xml:space="preserve">consensus is reached as </w:t>
      </w:r>
      <w:r>
        <w:rPr>
          <w:rFonts w:ascii="Calibri" w:hAnsi="Calibri"/>
          <w:lang w:val="en-US" w:eastAsia="de-DE"/>
        </w:rPr>
        <w:t xml:space="preserve">much </w:t>
      </w:r>
      <w:r>
        <w:rPr>
          <w:rFonts w:ascii="Calibri" w:hAnsi="Calibri"/>
          <w:lang w:eastAsia="de-DE"/>
        </w:rPr>
        <w:t>as possible.</w:t>
      </w:r>
    </w:p>
    <w:p w14:paraId="13436857" w14:textId="77777777" w:rsidR="001554EB" w:rsidRDefault="00735FC8">
      <w:pPr>
        <w:pStyle w:val="BodyText"/>
        <w:rPr>
          <w:rFonts w:ascii="Calibri" w:hAnsi="Calibri"/>
        </w:rPr>
      </w:pPr>
      <w:r>
        <w:rPr>
          <w:rFonts w:ascii="Calibri" w:hAnsi="Calibri"/>
        </w:rPr>
        <w:t>4</w:t>
      </w:r>
      <w:r>
        <w:rPr>
          <w:rFonts w:ascii="Calibri" w:hAnsi="Calibri"/>
        </w:rPr>
        <w:tab/>
      </w:r>
      <w:r>
        <w:rPr>
          <w:rFonts w:ascii="Calibri" w:hAnsi="Calibri" w:hint="eastAsia"/>
          <w:lang w:val="en-US" w:eastAsia="zh-CN"/>
        </w:rPr>
        <w:t>O</w:t>
      </w:r>
      <w:proofErr w:type="spellStart"/>
      <w:r>
        <w:rPr>
          <w:rFonts w:ascii="Calibri" w:hAnsi="Calibri"/>
        </w:rPr>
        <w:t>perational</w:t>
      </w:r>
      <w:proofErr w:type="spellEnd"/>
      <w:r>
        <w:rPr>
          <w:rFonts w:ascii="Calibri" w:hAnsi="Calibri"/>
        </w:rPr>
        <w:t xml:space="preserve"> convenience</w:t>
      </w:r>
    </w:p>
    <w:p w14:paraId="1C069545" w14:textId="77777777" w:rsidR="001554EB" w:rsidRDefault="00735FC8">
      <w:pPr>
        <w:pStyle w:val="BodyText"/>
        <w:rPr>
          <w:rFonts w:ascii="Calibri" w:hAnsi="Calibri"/>
        </w:rPr>
      </w:pPr>
      <w:r>
        <w:rPr>
          <w:rFonts w:ascii="Calibri" w:hAnsi="Calibri"/>
          <w:lang w:eastAsia="de-DE"/>
        </w:rPr>
        <w:t xml:space="preserve">The </w:t>
      </w:r>
      <w:r>
        <w:rPr>
          <w:rFonts w:ascii="Calibri" w:hAnsi="Calibri"/>
          <w:lang w:val="en-US" w:eastAsia="de-DE"/>
        </w:rPr>
        <w:t>G</w:t>
      </w:r>
      <w:proofErr w:type="spellStart"/>
      <w:r>
        <w:rPr>
          <w:rFonts w:ascii="Calibri" w:hAnsi="Calibri"/>
          <w:lang w:eastAsia="de-DE"/>
        </w:rPr>
        <w:t>uid</w:t>
      </w:r>
      <w:r>
        <w:rPr>
          <w:rFonts w:ascii="Calibri" w:hAnsi="Calibri"/>
          <w:lang w:val="en-US" w:eastAsia="de-DE"/>
        </w:rPr>
        <w:t>elines</w:t>
      </w:r>
      <w:proofErr w:type="spellEnd"/>
      <w:r>
        <w:rPr>
          <w:rFonts w:ascii="Calibri" w:hAnsi="Calibri"/>
          <w:lang w:eastAsia="de-DE"/>
        </w:rPr>
        <w:t xml:space="preserve"> should be clear, unambiguous and </w:t>
      </w:r>
      <w:r>
        <w:rPr>
          <w:rFonts w:ascii="Calibri" w:hAnsi="Calibri"/>
          <w:lang w:val="en-US" w:eastAsia="de-DE"/>
        </w:rPr>
        <w:t>easy to implement</w:t>
      </w:r>
      <w:r>
        <w:rPr>
          <w:rFonts w:ascii="Calibri" w:hAnsi="Calibri"/>
          <w:lang w:eastAsia="de-DE"/>
        </w:rPr>
        <w:t xml:space="preserve">, so as to improve safety effectiveness without </w:t>
      </w:r>
      <w:r>
        <w:rPr>
          <w:rFonts w:ascii="Calibri" w:hAnsi="Calibri"/>
          <w:lang w:val="en-US" w:eastAsia="de-DE"/>
        </w:rPr>
        <w:t>unduly burdening</w:t>
      </w:r>
      <w:r>
        <w:rPr>
          <w:rFonts w:ascii="Calibri" w:hAnsi="Calibri"/>
          <w:lang w:eastAsia="de-DE"/>
        </w:rPr>
        <w:t xml:space="preserve"> VTS </w:t>
      </w:r>
      <w:r>
        <w:rPr>
          <w:rFonts w:ascii="Calibri" w:hAnsi="Calibri" w:hint="eastAsia"/>
          <w:lang w:val="en-US" w:eastAsia="zh-CN"/>
        </w:rPr>
        <w:t xml:space="preserve">competent </w:t>
      </w:r>
      <w:r>
        <w:rPr>
          <w:rFonts w:ascii="Calibri" w:hAnsi="Calibri"/>
          <w:lang w:eastAsia="de-DE"/>
        </w:rPr>
        <w:t>authorities</w:t>
      </w:r>
      <w:r>
        <w:rPr>
          <w:rFonts w:ascii="Calibri" w:hAnsi="Calibri" w:hint="eastAsia"/>
          <w:lang w:val="en-US" w:eastAsia="zh-CN"/>
        </w:rPr>
        <w:t xml:space="preserve">, providers </w:t>
      </w:r>
      <w:r>
        <w:rPr>
          <w:rFonts w:ascii="Calibri" w:hAnsi="Calibri"/>
          <w:lang w:val="en-US" w:eastAsia="de-DE"/>
        </w:rPr>
        <w:t>or</w:t>
      </w:r>
      <w:r>
        <w:rPr>
          <w:rFonts w:ascii="Calibri" w:hAnsi="Calibri" w:hint="eastAsia"/>
          <w:lang w:eastAsia="de-DE"/>
        </w:rPr>
        <w:t xml:space="preserve"> </w:t>
      </w:r>
      <w:r>
        <w:rPr>
          <w:rFonts w:ascii="Calibri" w:hAnsi="Calibri"/>
          <w:lang w:val="en-US" w:eastAsia="de-DE"/>
        </w:rPr>
        <w:t>personnel</w:t>
      </w:r>
      <w:r>
        <w:rPr>
          <w:rFonts w:ascii="Calibri" w:hAnsi="Calibri" w:hint="eastAsia"/>
        </w:rPr>
        <w:t>.</w:t>
      </w:r>
    </w:p>
    <w:p w14:paraId="43992C5E" w14:textId="77777777" w:rsidR="001554EB" w:rsidRDefault="00735FC8">
      <w:pPr>
        <w:pStyle w:val="BodyText"/>
        <w:rPr>
          <w:rFonts w:ascii="Calibri" w:hAnsi="Calibri"/>
        </w:rPr>
      </w:pPr>
      <w:r>
        <w:rPr>
          <w:rFonts w:ascii="Calibri" w:hAnsi="Calibri"/>
        </w:rPr>
        <w:t>5</w:t>
      </w:r>
      <w:r>
        <w:rPr>
          <w:rFonts w:ascii="Calibri" w:hAnsi="Calibri"/>
        </w:rPr>
        <w:tab/>
      </w:r>
      <w:r>
        <w:rPr>
          <w:rFonts w:ascii="Calibri" w:eastAsia="MS Mincho" w:hAnsi="Calibri"/>
          <w:lang w:val="en-US" w:eastAsia="ja-JP"/>
        </w:rPr>
        <w:t>D</w:t>
      </w:r>
      <w:proofErr w:type="spellStart"/>
      <w:r>
        <w:rPr>
          <w:rFonts w:ascii="Calibri" w:eastAsia="MS Mincho" w:hAnsi="Calibri"/>
          <w:lang w:eastAsia="ja-JP"/>
        </w:rPr>
        <w:t>ynamic</w:t>
      </w:r>
      <w:proofErr w:type="spellEnd"/>
      <w:r>
        <w:rPr>
          <w:rFonts w:ascii="Calibri" w:eastAsia="MS Mincho" w:hAnsi="Calibri"/>
          <w:lang w:eastAsia="ja-JP"/>
        </w:rPr>
        <w:t xml:space="preserve"> development </w:t>
      </w:r>
      <w:r>
        <w:rPr>
          <w:rFonts w:ascii="Calibri" w:eastAsia="MS Mincho" w:hAnsi="Calibri"/>
          <w:lang w:val="en-US" w:eastAsia="ja-JP"/>
        </w:rPr>
        <w:t>principle</w:t>
      </w:r>
    </w:p>
    <w:p w14:paraId="6647E3BE" w14:textId="77777777" w:rsidR="001554EB" w:rsidRDefault="00735FC8">
      <w:pPr>
        <w:pStyle w:val="BodyText"/>
        <w:rPr>
          <w:rFonts w:ascii="Calibri" w:hAnsi="Calibri"/>
        </w:rPr>
      </w:pPr>
      <w:r>
        <w:rPr>
          <w:rFonts w:ascii="Calibri" w:hAnsi="Calibri"/>
          <w:lang w:eastAsia="de-DE"/>
        </w:rPr>
        <w:t xml:space="preserve">The delineation of </w:t>
      </w:r>
      <w:r>
        <w:rPr>
          <w:rFonts w:ascii="Calibri" w:hAnsi="Calibri"/>
          <w:lang w:val="en-US" w:eastAsia="de-DE"/>
        </w:rPr>
        <w:t xml:space="preserve">the </w:t>
      </w:r>
      <w:r>
        <w:rPr>
          <w:rFonts w:ascii="Calibri" w:hAnsi="Calibri"/>
          <w:lang w:eastAsia="de-DE"/>
        </w:rPr>
        <w:t>VTS area is a dynamic process</w:t>
      </w:r>
      <w:r>
        <w:rPr>
          <w:rFonts w:ascii="Calibri" w:hAnsi="Calibri"/>
          <w:lang w:val="en-US" w:eastAsia="de-DE"/>
        </w:rPr>
        <w:t>.</w:t>
      </w:r>
      <w:r>
        <w:rPr>
          <w:rFonts w:ascii="Calibri" w:hAnsi="Calibri"/>
          <w:lang w:eastAsia="de-DE"/>
        </w:rPr>
        <w:t xml:space="preserve"> </w:t>
      </w:r>
      <w:r>
        <w:rPr>
          <w:rFonts w:ascii="Calibri" w:hAnsi="Calibri"/>
          <w:lang w:val="en-US" w:eastAsia="de-DE"/>
        </w:rPr>
        <w:t>A</w:t>
      </w:r>
      <w:r>
        <w:rPr>
          <w:rFonts w:ascii="Calibri" w:hAnsi="Calibri"/>
          <w:lang w:eastAsia="de-DE"/>
        </w:rPr>
        <w:t xml:space="preserve"> comprehensive assessment of the maritime traffic patterns and characteristics within the area should be conducted regularly and adjusted in due course</w:t>
      </w:r>
      <w:r>
        <w:rPr>
          <w:rFonts w:ascii="Calibri" w:hAnsi="Calibri"/>
          <w:lang w:val="en-US" w:eastAsia="de-DE"/>
        </w:rPr>
        <w:t xml:space="preserve">, meanwhile the delineation </w:t>
      </w:r>
      <w:r>
        <w:rPr>
          <w:rFonts w:ascii="Calibri" w:hAnsi="Calibri"/>
          <w:lang w:eastAsia="de-DE"/>
        </w:rPr>
        <w:t>should be compatible with local port development plans</w:t>
      </w:r>
      <w:r>
        <w:rPr>
          <w:rFonts w:ascii="Calibri" w:hAnsi="Calibri" w:hint="eastAsia"/>
        </w:rPr>
        <w:t>.</w:t>
      </w:r>
    </w:p>
    <w:p w14:paraId="6EF8E8CE" w14:textId="77777777" w:rsidR="001554EB" w:rsidRDefault="00735FC8">
      <w:pPr>
        <w:pStyle w:val="BodyText"/>
        <w:rPr>
          <w:rFonts w:ascii="Calibri" w:hAnsi="Calibri"/>
        </w:rPr>
      </w:pPr>
      <w:r>
        <w:rPr>
          <w:rFonts w:ascii="Calibri" w:hAnsi="Calibri"/>
        </w:rPr>
        <w:t>6</w:t>
      </w:r>
      <w:r>
        <w:rPr>
          <w:rFonts w:ascii="Calibri" w:hAnsi="Calibri"/>
        </w:rPr>
        <w:tab/>
        <w:t>Regular review and update</w:t>
      </w:r>
    </w:p>
    <w:p w14:paraId="5E081F8B" w14:textId="77777777" w:rsidR="001554EB" w:rsidRDefault="00735FC8">
      <w:pPr>
        <w:pStyle w:val="BodyText"/>
        <w:rPr>
          <w:rFonts w:ascii="Calibri" w:hAnsi="Calibri"/>
        </w:rPr>
      </w:pPr>
      <w:r>
        <w:rPr>
          <w:rFonts w:ascii="Calibri" w:hAnsi="Calibri"/>
          <w:lang w:eastAsia="de-DE"/>
        </w:rPr>
        <w:t>Assessments and adjustments should be made in due course</w:t>
      </w:r>
      <w:r>
        <w:rPr>
          <w:rFonts w:ascii="Calibri" w:hAnsi="Calibri"/>
          <w:lang w:val="en-US" w:eastAsia="de-DE"/>
        </w:rPr>
        <w:t xml:space="preserve"> to reflect</w:t>
      </w:r>
      <w:r>
        <w:rPr>
          <w:rFonts w:ascii="Calibri" w:hAnsi="Calibri"/>
          <w:lang w:eastAsia="de-DE"/>
        </w:rPr>
        <w:t xml:space="preserve"> developments in international shipping</w:t>
      </w:r>
      <w:r>
        <w:rPr>
          <w:rFonts w:ascii="Calibri" w:hAnsi="Calibri"/>
          <w:lang w:val="en-US" w:eastAsia="de-DE"/>
        </w:rPr>
        <w:t xml:space="preserve"> and changes in</w:t>
      </w:r>
      <w:r>
        <w:rPr>
          <w:rFonts w:ascii="Calibri" w:hAnsi="Calibri"/>
          <w:lang w:eastAsia="de-DE"/>
        </w:rPr>
        <w:t xml:space="preserve"> infrastructure </w:t>
      </w:r>
      <w:r>
        <w:rPr>
          <w:rFonts w:ascii="Calibri" w:hAnsi="Calibri"/>
          <w:lang w:val="en-US" w:eastAsia="de-DE"/>
        </w:rPr>
        <w:t>or</w:t>
      </w:r>
      <w:r>
        <w:rPr>
          <w:rFonts w:ascii="Calibri" w:hAnsi="Calibri"/>
          <w:lang w:eastAsia="de-DE"/>
        </w:rPr>
        <w:t xml:space="preserve"> safety management</w:t>
      </w:r>
      <w:r>
        <w:rPr>
          <w:rFonts w:ascii="Calibri" w:hAnsi="Calibri"/>
          <w:lang w:val="en-US" w:eastAsia="de-DE"/>
        </w:rPr>
        <w:t xml:space="preserve"> practices</w:t>
      </w:r>
      <w:r>
        <w:rPr>
          <w:rFonts w:ascii="Calibri" w:hAnsi="Calibri" w:hint="eastAsia"/>
        </w:rPr>
        <w:t>.</w:t>
      </w:r>
    </w:p>
    <w:p w14:paraId="78AF094F" w14:textId="77777777" w:rsidR="001554EB" w:rsidRDefault="001554EB">
      <w:pPr>
        <w:pStyle w:val="BodyText"/>
        <w:rPr>
          <w:rFonts w:ascii="Calibri" w:hAnsi="Calibri"/>
        </w:rPr>
      </w:pPr>
    </w:p>
    <w:p w14:paraId="6E051887" w14:textId="77777777" w:rsidR="001554EB" w:rsidRDefault="00735FC8">
      <w:pPr>
        <w:pStyle w:val="Heading2"/>
      </w:pPr>
      <w:r>
        <w:rPr>
          <w:rFonts w:hint="eastAsia"/>
        </w:rPr>
        <w:lastRenderedPageBreak/>
        <w:t>Main framework and content</w:t>
      </w:r>
    </w:p>
    <w:p w14:paraId="548AE48F" w14:textId="77777777" w:rsidR="001554EB" w:rsidRDefault="00735FC8">
      <w:pPr>
        <w:pStyle w:val="BodyText"/>
        <w:rPr>
          <w:rFonts w:ascii="Calibri" w:hAnsi="Calibri"/>
          <w:lang w:eastAsia="de-DE"/>
        </w:rPr>
      </w:pPr>
      <w:r>
        <w:rPr>
          <w:rFonts w:ascii="Calibri" w:hAnsi="Calibri"/>
          <w:lang w:eastAsia="de-DE"/>
        </w:rPr>
        <w:t xml:space="preserve">Considering that </w:t>
      </w:r>
      <w:proofErr w:type="spellStart"/>
      <w:r>
        <w:rPr>
          <w:rFonts w:ascii="Calibri" w:hAnsi="Calibri"/>
          <w:lang w:eastAsia="de-DE"/>
        </w:rPr>
        <w:t>th</w:t>
      </w:r>
      <w:proofErr w:type="spellEnd"/>
      <w:r>
        <w:rPr>
          <w:rFonts w:ascii="Calibri" w:hAnsi="Calibri"/>
          <w:lang w:val="en-US" w:eastAsia="de-DE"/>
        </w:rPr>
        <w:t>e</w:t>
      </w:r>
      <w:r>
        <w:rPr>
          <w:rFonts w:ascii="Calibri" w:hAnsi="Calibri"/>
          <w:lang w:eastAsia="de-DE"/>
        </w:rPr>
        <w:t xml:space="preserve"> </w:t>
      </w:r>
      <w:r>
        <w:rPr>
          <w:rFonts w:ascii="Calibri" w:hAnsi="Calibri"/>
          <w:lang w:val="en-US" w:eastAsia="de-DE"/>
        </w:rPr>
        <w:t>G</w:t>
      </w:r>
      <w:proofErr w:type="spellStart"/>
      <w:r>
        <w:rPr>
          <w:rFonts w:ascii="Calibri" w:hAnsi="Calibri" w:hint="eastAsia"/>
          <w:lang w:eastAsia="de-DE"/>
        </w:rPr>
        <w:t>uideline</w:t>
      </w:r>
      <w:proofErr w:type="spellEnd"/>
      <w:r>
        <w:rPr>
          <w:rFonts w:ascii="Calibri" w:hAnsi="Calibri"/>
          <w:lang w:val="en-US" w:eastAsia="de-DE"/>
        </w:rPr>
        <w:t>s</w:t>
      </w:r>
      <w:r>
        <w:rPr>
          <w:rFonts w:ascii="Calibri" w:hAnsi="Calibri"/>
          <w:lang w:eastAsia="de-DE"/>
        </w:rPr>
        <w:t xml:space="preserve"> is a normative guid</w:t>
      </w:r>
      <w:proofErr w:type="spellStart"/>
      <w:r>
        <w:rPr>
          <w:rFonts w:ascii="Calibri" w:hAnsi="Calibri"/>
          <w:lang w:val="en-US" w:eastAsia="de-DE"/>
        </w:rPr>
        <w:t>ing</w:t>
      </w:r>
      <w:proofErr w:type="spellEnd"/>
      <w:r>
        <w:rPr>
          <w:rFonts w:ascii="Calibri" w:hAnsi="Calibri"/>
          <w:lang w:eastAsia="de-DE"/>
        </w:rPr>
        <w:t xml:space="preserve"> document for countries to refer to when delineating </w:t>
      </w:r>
      <w:r>
        <w:rPr>
          <w:rFonts w:ascii="Calibri" w:hAnsi="Calibri"/>
          <w:lang w:val="en-US" w:eastAsia="de-DE"/>
        </w:rPr>
        <w:t xml:space="preserve">the </w:t>
      </w:r>
      <w:r>
        <w:rPr>
          <w:rFonts w:ascii="Calibri" w:hAnsi="Calibri"/>
          <w:lang w:eastAsia="de-DE"/>
        </w:rPr>
        <w:t xml:space="preserve">VTS area, </w:t>
      </w:r>
      <w:r>
        <w:rPr>
          <w:rFonts w:ascii="Calibri" w:hAnsi="Calibri"/>
          <w:lang w:val="en-US" w:eastAsia="de-DE"/>
        </w:rPr>
        <w:t>the</w:t>
      </w:r>
      <w:r>
        <w:rPr>
          <w:rFonts w:ascii="Calibri" w:hAnsi="Calibri"/>
          <w:lang w:eastAsia="de-DE"/>
        </w:rPr>
        <w:t xml:space="preserve"> content should be as comprehensive and specific as possible, and that it should</w:t>
      </w:r>
      <w:r>
        <w:rPr>
          <w:rFonts w:ascii="Calibri" w:hAnsi="Calibri" w:hint="eastAsia"/>
          <w:lang w:val="en-US" w:eastAsia="zh-CN"/>
        </w:rPr>
        <w:t xml:space="preserve"> </w:t>
      </w:r>
      <w:r>
        <w:rPr>
          <w:rFonts w:ascii="Calibri" w:hAnsi="Calibri"/>
          <w:lang w:eastAsia="de-DE"/>
        </w:rPr>
        <w:t xml:space="preserve">fully consider the responsibilities of the relevant parties involved in the delineation, the principles to be followed, and the specific workflow, etc., this </w:t>
      </w:r>
      <w:r>
        <w:rPr>
          <w:rFonts w:ascii="Calibri" w:hAnsi="Calibri" w:hint="eastAsia"/>
          <w:lang w:eastAsia="de-DE"/>
        </w:rPr>
        <w:t>paper</w:t>
      </w:r>
      <w:r>
        <w:rPr>
          <w:rFonts w:ascii="Calibri" w:hAnsi="Calibri"/>
          <w:lang w:eastAsia="de-DE"/>
        </w:rPr>
        <w:t xml:space="preserve"> suggests that the Guide</w:t>
      </w:r>
      <w:r>
        <w:rPr>
          <w:rFonts w:ascii="Calibri" w:hAnsi="Calibri" w:hint="eastAsia"/>
          <w:lang w:eastAsia="de-DE"/>
        </w:rPr>
        <w:t>line</w:t>
      </w:r>
      <w:r>
        <w:rPr>
          <w:rFonts w:ascii="Calibri" w:hAnsi="Calibri"/>
          <w:lang w:val="en-US" w:eastAsia="de-DE"/>
        </w:rPr>
        <w:t>s</w:t>
      </w:r>
      <w:r>
        <w:rPr>
          <w:rFonts w:ascii="Calibri" w:hAnsi="Calibri"/>
          <w:lang w:eastAsia="de-DE"/>
        </w:rPr>
        <w:t xml:space="preserve"> should contain at least the following contents</w:t>
      </w:r>
      <w:r>
        <w:rPr>
          <w:rFonts w:ascii="Calibri" w:hAnsi="Calibri" w:hint="eastAsia"/>
          <w:lang w:eastAsia="de-DE"/>
        </w:rPr>
        <w:t>:</w:t>
      </w:r>
    </w:p>
    <w:p w14:paraId="6F6F22FB" w14:textId="77777777" w:rsidR="001554EB" w:rsidRDefault="00735FC8">
      <w:pPr>
        <w:pStyle w:val="BodyText"/>
        <w:rPr>
          <w:rFonts w:ascii="Calibri" w:hAnsi="Calibri"/>
        </w:rPr>
      </w:pPr>
      <w:r>
        <w:rPr>
          <w:rFonts w:ascii="Calibri" w:hAnsi="Calibri"/>
        </w:rPr>
        <w:t>1</w:t>
      </w:r>
      <w:r>
        <w:rPr>
          <w:rFonts w:ascii="Calibri" w:hAnsi="Calibri"/>
        </w:rPr>
        <w:tab/>
        <w:t xml:space="preserve">Introduction </w:t>
      </w:r>
    </w:p>
    <w:p w14:paraId="159DD9A4" w14:textId="77777777" w:rsidR="001554EB" w:rsidRDefault="00735FC8">
      <w:pPr>
        <w:pStyle w:val="BodyText"/>
        <w:rPr>
          <w:rFonts w:ascii="Calibri" w:hAnsi="Calibri"/>
        </w:rPr>
      </w:pPr>
      <w:r>
        <w:rPr>
          <w:rFonts w:ascii="Calibri" w:hAnsi="Calibri"/>
          <w:lang w:eastAsia="de-DE"/>
        </w:rPr>
        <w:t>It clarifies</w:t>
      </w:r>
      <w:r>
        <w:rPr>
          <w:rFonts w:ascii="Calibri" w:hAnsi="Calibri"/>
        </w:rPr>
        <w:t xml:space="preserve"> the purpose </w:t>
      </w:r>
      <w:r>
        <w:rPr>
          <w:rFonts w:ascii="Calibri" w:hAnsi="Calibri" w:hint="eastAsia"/>
          <w:lang w:eastAsia="zh-CN"/>
        </w:rPr>
        <w:t>and</w:t>
      </w:r>
      <w:r>
        <w:rPr>
          <w:rFonts w:ascii="Calibri" w:hAnsi="Calibri"/>
        </w:rPr>
        <w:t xml:space="preserve"> significance of the Guideline's formulation as well as some crucial </w:t>
      </w:r>
      <w:r>
        <w:rPr>
          <w:rFonts w:ascii="Calibri" w:hAnsi="Calibri"/>
          <w:lang w:eastAsia="de-DE"/>
        </w:rPr>
        <w:t>terms and definitions</w:t>
      </w:r>
      <w:r>
        <w:rPr>
          <w:rFonts w:ascii="Calibri" w:hAnsi="Calibri"/>
        </w:rPr>
        <w:t>.</w:t>
      </w:r>
    </w:p>
    <w:p w14:paraId="63B33621" w14:textId="77777777" w:rsidR="001554EB" w:rsidRDefault="00735FC8">
      <w:pPr>
        <w:pStyle w:val="BodyText"/>
        <w:rPr>
          <w:rFonts w:ascii="Calibri" w:hAnsi="Calibri"/>
        </w:rPr>
      </w:pPr>
      <w:r>
        <w:rPr>
          <w:rFonts w:ascii="Calibri" w:hAnsi="Calibri"/>
        </w:rPr>
        <w:t>2</w:t>
      </w:r>
      <w:r>
        <w:rPr>
          <w:rFonts w:ascii="Calibri" w:hAnsi="Calibri"/>
        </w:rPr>
        <w:tab/>
        <w:t>Responsibilities of all parties related to VTS</w:t>
      </w:r>
    </w:p>
    <w:p w14:paraId="6D3069C0" w14:textId="5662EE5F" w:rsidR="001554EB" w:rsidRDefault="00735FC8">
      <w:pPr>
        <w:pStyle w:val="BodyText"/>
        <w:rPr>
          <w:rFonts w:ascii="Calibri" w:hAnsi="Calibri"/>
          <w:lang w:eastAsia="de-DE"/>
        </w:rPr>
      </w:pPr>
      <w:r>
        <w:rPr>
          <w:rFonts w:ascii="Calibri" w:hAnsi="Calibri"/>
          <w:lang w:val="en-US" w:eastAsia="de-DE"/>
        </w:rPr>
        <w:t>It c</w:t>
      </w:r>
      <w:proofErr w:type="spellStart"/>
      <w:r>
        <w:rPr>
          <w:rFonts w:ascii="Calibri" w:hAnsi="Calibri"/>
          <w:lang w:eastAsia="de-DE"/>
        </w:rPr>
        <w:t>larif</w:t>
      </w:r>
      <w:r>
        <w:rPr>
          <w:rFonts w:ascii="Calibri" w:hAnsi="Calibri"/>
          <w:lang w:val="en-US" w:eastAsia="de-DE"/>
        </w:rPr>
        <w:t>ies</w:t>
      </w:r>
      <w:proofErr w:type="spellEnd"/>
      <w:r>
        <w:rPr>
          <w:rFonts w:ascii="Calibri" w:hAnsi="Calibri"/>
          <w:lang w:eastAsia="de-DE"/>
        </w:rPr>
        <w:t xml:space="preserve"> the responsibilities and division of all parties involved in the delineation of </w:t>
      </w:r>
      <w:r>
        <w:rPr>
          <w:rFonts w:ascii="Calibri" w:hAnsi="Calibri"/>
          <w:lang w:val="en-US" w:eastAsia="de-DE"/>
        </w:rPr>
        <w:t xml:space="preserve">the </w:t>
      </w:r>
      <w:r>
        <w:rPr>
          <w:rFonts w:ascii="Calibri" w:hAnsi="Calibri"/>
          <w:lang w:eastAsia="de-DE"/>
        </w:rPr>
        <w:t>VTS area.</w:t>
      </w:r>
    </w:p>
    <w:p w14:paraId="7555DBD0" w14:textId="77777777" w:rsidR="001554EB" w:rsidRDefault="00735FC8">
      <w:pPr>
        <w:pStyle w:val="BodyText"/>
        <w:rPr>
          <w:rFonts w:ascii="Calibri" w:hAnsi="Calibri"/>
        </w:rPr>
      </w:pPr>
      <w:r>
        <w:rPr>
          <w:rFonts w:ascii="Calibri" w:hAnsi="Calibri"/>
        </w:rPr>
        <w:t>3</w:t>
      </w:r>
      <w:r>
        <w:rPr>
          <w:rFonts w:ascii="Calibri" w:hAnsi="Calibri"/>
        </w:rPr>
        <w:tab/>
        <w:t xml:space="preserve">Factors to be considered when delineating </w:t>
      </w:r>
      <w:r>
        <w:rPr>
          <w:rFonts w:ascii="Calibri" w:hAnsi="Calibri" w:hint="eastAsia"/>
          <w:lang w:val="en-US" w:eastAsia="zh-CN"/>
        </w:rPr>
        <w:t xml:space="preserve">the </w:t>
      </w:r>
      <w:r>
        <w:rPr>
          <w:rFonts w:ascii="Calibri" w:hAnsi="Calibri"/>
        </w:rPr>
        <w:t>VTS area</w:t>
      </w:r>
    </w:p>
    <w:p w14:paraId="79DEBE82" w14:textId="77777777" w:rsidR="001554EB" w:rsidRDefault="00735FC8">
      <w:pPr>
        <w:pStyle w:val="BodyText"/>
        <w:rPr>
          <w:rFonts w:ascii="Calibri" w:hAnsi="Calibri"/>
          <w:lang w:eastAsia="de-DE"/>
        </w:rPr>
      </w:pPr>
      <w:r>
        <w:rPr>
          <w:rFonts w:ascii="Calibri" w:hAnsi="Calibri"/>
          <w:lang w:val="en-US" w:eastAsia="de-DE"/>
        </w:rPr>
        <w:t>It l</w:t>
      </w:r>
      <w:proofErr w:type="spellStart"/>
      <w:r>
        <w:rPr>
          <w:rFonts w:ascii="Calibri" w:hAnsi="Calibri"/>
          <w:lang w:eastAsia="de-DE"/>
        </w:rPr>
        <w:t>ist</w:t>
      </w:r>
      <w:proofErr w:type="spellEnd"/>
      <w:r>
        <w:rPr>
          <w:rFonts w:ascii="Calibri" w:hAnsi="Calibri"/>
          <w:lang w:val="en-US" w:eastAsia="de-DE"/>
        </w:rPr>
        <w:t>s</w:t>
      </w:r>
      <w:r>
        <w:rPr>
          <w:rFonts w:ascii="Calibri" w:hAnsi="Calibri"/>
          <w:lang w:eastAsia="de-DE"/>
        </w:rPr>
        <w:t xml:space="preserve"> a number of factors that should be </w:t>
      </w:r>
      <w:r>
        <w:rPr>
          <w:rFonts w:ascii="Calibri" w:hAnsi="Calibri"/>
          <w:lang w:val="en-US" w:eastAsia="de-DE"/>
        </w:rPr>
        <w:t>considered</w:t>
      </w:r>
      <w:r>
        <w:rPr>
          <w:rFonts w:ascii="Calibri" w:hAnsi="Calibri"/>
          <w:lang w:eastAsia="de-DE"/>
        </w:rPr>
        <w:t xml:space="preserve"> when conducting </w:t>
      </w:r>
      <w:r>
        <w:rPr>
          <w:rFonts w:ascii="Calibri" w:hAnsi="Calibri" w:hint="eastAsia"/>
          <w:lang w:val="en-US" w:eastAsia="zh-CN"/>
        </w:rPr>
        <w:t xml:space="preserve">the </w:t>
      </w:r>
      <w:r>
        <w:rPr>
          <w:rFonts w:ascii="Calibri" w:hAnsi="Calibri"/>
          <w:lang w:eastAsia="de-DE"/>
        </w:rPr>
        <w:t>VTS area delineation.</w:t>
      </w:r>
    </w:p>
    <w:p w14:paraId="713F7C7B" w14:textId="77777777" w:rsidR="001554EB" w:rsidRDefault="00735FC8">
      <w:pPr>
        <w:pStyle w:val="BodyText"/>
        <w:rPr>
          <w:rFonts w:ascii="Calibri" w:hAnsi="Calibri"/>
        </w:rPr>
      </w:pPr>
      <w:r>
        <w:rPr>
          <w:rFonts w:ascii="Calibri" w:hAnsi="Calibri"/>
        </w:rPr>
        <w:t>4</w:t>
      </w:r>
      <w:r>
        <w:rPr>
          <w:rFonts w:ascii="Calibri" w:hAnsi="Calibri"/>
        </w:rPr>
        <w:tab/>
        <w:t>Factors to be considered when delineating VTS sub-areas</w:t>
      </w:r>
    </w:p>
    <w:p w14:paraId="2B97733F" w14:textId="3440AA52" w:rsidR="001554EB" w:rsidRDefault="00735FC8">
      <w:pPr>
        <w:pStyle w:val="BodyText"/>
        <w:rPr>
          <w:rFonts w:ascii="Calibri" w:hAnsi="Calibri"/>
          <w:lang w:eastAsia="de-DE"/>
        </w:rPr>
      </w:pPr>
      <w:r>
        <w:rPr>
          <w:rFonts w:ascii="Calibri" w:hAnsi="Calibri"/>
          <w:lang w:val="en-US" w:eastAsia="de-DE"/>
        </w:rPr>
        <w:t>It s</w:t>
      </w:r>
      <w:r>
        <w:rPr>
          <w:rFonts w:ascii="Calibri" w:hAnsi="Calibri"/>
          <w:lang w:eastAsia="de-DE"/>
        </w:rPr>
        <w:t>et</w:t>
      </w:r>
      <w:r>
        <w:rPr>
          <w:rFonts w:ascii="Calibri" w:hAnsi="Calibri"/>
          <w:lang w:val="en-US" w:eastAsia="de-DE"/>
        </w:rPr>
        <w:t>s</w:t>
      </w:r>
      <w:r>
        <w:rPr>
          <w:rFonts w:ascii="Calibri" w:hAnsi="Calibri"/>
          <w:lang w:eastAsia="de-DE"/>
        </w:rPr>
        <w:t xml:space="preserve"> out the factors to be taken into account when further dividing the delineated VTS area into smaller sub</w:t>
      </w:r>
      <w:r>
        <w:rPr>
          <w:rFonts w:ascii="Calibri" w:hAnsi="Calibri" w:hint="eastAsia"/>
        </w:rPr>
        <w:t>-</w:t>
      </w:r>
      <w:r>
        <w:rPr>
          <w:rFonts w:ascii="Calibri" w:hAnsi="Calibri"/>
          <w:lang w:eastAsia="de-DE"/>
        </w:rPr>
        <w:t>areas, that is, when conducting VTS sub</w:t>
      </w:r>
      <w:r>
        <w:rPr>
          <w:rFonts w:ascii="Calibri" w:hAnsi="Calibri"/>
          <w:lang w:val="en-US" w:eastAsia="de-DE"/>
        </w:rPr>
        <w:t>-</w:t>
      </w:r>
      <w:r>
        <w:rPr>
          <w:rFonts w:ascii="Calibri" w:hAnsi="Calibri"/>
          <w:lang w:eastAsia="de-DE"/>
        </w:rPr>
        <w:t>area</w:t>
      </w:r>
      <w:r>
        <w:rPr>
          <w:rFonts w:ascii="Calibri" w:hAnsi="Calibri" w:hint="eastAsia"/>
          <w:lang w:val="en-US" w:eastAsia="zh-CN"/>
        </w:rPr>
        <w:t>s</w:t>
      </w:r>
      <w:r>
        <w:rPr>
          <w:rFonts w:ascii="Calibri" w:hAnsi="Calibri"/>
          <w:lang w:eastAsia="de-DE"/>
        </w:rPr>
        <w:t xml:space="preserve"> delineation.</w:t>
      </w:r>
    </w:p>
    <w:p w14:paraId="6C2CF567" w14:textId="77777777" w:rsidR="001554EB" w:rsidRDefault="00735FC8">
      <w:pPr>
        <w:pStyle w:val="BodyText"/>
        <w:rPr>
          <w:rFonts w:ascii="Calibri" w:hAnsi="Calibri"/>
        </w:rPr>
      </w:pPr>
      <w:r>
        <w:rPr>
          <w:rFonts w:ascii="Calibri" w:hAnsi="Calibri"/>
        </w:rPr>
        <w:t>5</w:t>
      </w:r>
      <w:r>
        <w:rPr>
          <w:rFonts w:ascii="Calibri" w:hAnsi="Calibri"/>
        </w:rPr>
        <w:tab/>
        <w:t xml:space="preserve">Principles to be followed in the delineation of VTS areas and sub-areas </w:t>
      </w:r>
    </w:p>
    <w:p w14:paraId="13CF4F21" w14:textId="77777777" w:rsidR="001554EB" w:rsidRDefault="00735FC8">
      <w:pPr>
        <w:pStyle w:val="BodyText"/>
        <w:rPr>
          <w:rFonts w:ascii="Calibri" w:hAnsi="Calibri"/>
          <w:lang w:eastAsia="de-DE"/>
        </w:rPr>
      </w:pPr>
      <w:r>
        <w:rPr>
          <w:rFonts w:ascii="Calibri" w:hAnsi="Calibri"/>
          <w:lang w:val="en-US" w:eastAsia="de-DE"/>
        </w:rPr>
        <w:t>It p</w:t>
      </w:r>
      <w:proofErr w:type="spellStart"/>
      <w:r>
        <w:rPr>
          <w:rFonts w:ascii="Calibri" w:hAnsi="Calibri"/>
          <w:lang w:eastAsia="de-DE"/>
        </w:rPr>
        <w:t>rovide</w:t>
      </w:r>
      <w:proofErr w:type="spellEnd"/>
      <w:r>
        <w:rPr>
          <w:rFonts w:ascii="Calibri" w:hAnsi="Calibri"/>
          <w:lang w:val="en-US" w:eastAsia="de-DE"/>
        </w:rPr>
        <w:t>s</w:t>
      </w:r>
      <w:r>
        <w:rPr>
          <w:rFonts w:ascii="Calibri" w:hAnsi="Calibri"/>
          <w:lang w:eastAsia="de-DE"/>
        </w:rPr>
        <w:t xml:space="preserve"> the specific implementers of the VTS delineation work with necessary advice </w:t>
      </w:r>
      <w:r>
        <w:rPr>
          <w:rFonts w:ascii="Calibri" w:hAnsi="Calibri" w:hint="eastAsia"/>
          <w:lang w:val="en-US" w:eastAsia="zh-CN"/>
        </w:rPr>
        <w:t>and</w:t>
      </w:r>
      <w:r>
        <w:rPr>
          <w:rFonts w:ascii="Calibri" w:hAnsi="Calibri"/>
          <w:lang w:eastAsia="de-DE"/>
        </w:rPr>
        <w:t xml:space="preserve"> principles to be followed.</w:t>
      </w:r>
    </w:p>
    <w:p w14:paraId="131B6F3F" w14:textId="77777777" w:rsidR="001554EB" w:rsidRDefault="00735FC8">
      <w:pPr>
        <w:pStyle w:val="BodyText"/>
        <w:rPr>
          <w:rFonts w:ascii="Calibri" w:hAnsi="Calibri"/>
        </w:rPr>
      </w:pPr>
      <w:r>
        <w:rPr>
          <w:rFonts w:ascii="Calibri" w:hAnsi="Calibri"/>
        </w:rPr>
        <w:t>6</w:t>
      </w:r>
      <w:r>
        <w:rPr>
          <w:rFonts w:ascii="Calibri" w:hAnsi="Calibri"/>
        </w:rPr>
        <w:tab/>
        <w:t xml:space="preserve">Implementation process for </w:t>
      </w:r>
      <w:r>
        <w:rPr>
          <w:rFonts w:ascii="Calibri" w:hAnsi="Calibri" w:hint="eastAsia"/>
          <w:lang w:val="en-US" w:eastAsia="zh-CN"/>
        </w:rPr>
        <w:t xml:space="preserve">the </w:t>
      </w:r>
      <w:r>
        <w:rPr>
          <w:rFonts w:ascii="Calibri" w:hAnsi="Calibri"/>
        </w:rPr>
        <w:t xml:space="preserve">delineation of VTS area </w:t>
      </w:r>
      <w:r>
        <w:rPr>
          <w:rFonts w:ascii="Calibri" w:hAnsi="Calibri" w:hint="eastAsia"/>
          <w:lang w:val="en-US" w:eastAsia="zh-CN"/>
        </w:rPr>
        <w:t xml:space="preserve">and </w:t>
      </w:r>
      <w:r>
        <w:rPr>
          <w:rFonts w:ascii="Calibri" w:hAnsi="Calibri"/>
        </w:rPr>
        <w:t xml:space="preserve">sub-areas </w:t>
      </w:r>
    </w:p>
    <w:p w14:paraId="1E877797" w14:textId="77777777" w:rsidR="001554EB" w:rsidRDefault="00735FC8">
      <w:pPr>
        <w:pStyle w:val="BodyText"/>
        <w:rPr>
          <w:rFonts w:ascii="Calibri" w:hAnsi="Calibri"/>
          <w:lang w:eastAsia="de-DE"/>
        </w:rPr>
      </w:pPr>
      <w:r>
        <w:rPr>
          <w:rFonts w:ascii="Calibri" w:hAnsi="Calibri"/>
          <w:lang w:val="en-US" w:eastAsia="de-DE"/>
        </w:rPr>
        <w:t>It d</w:t>
      </w:r>
      <w:proofErr w:type="spellStart"/>
      <w:r>
        <w:rPr>
          <w:rFonts w:ascii="Calibri" w:hAnsi="Calibri"/>
          <w:lang w:eastAsia="de-DE"/>
        </w:rPr>
        <w:t>efine</w:t>
      </w:r>
      <w:proofErr w:type="spellEnd"/>
      <w:r>
        <w:rPr>
          <w:rFonts w:ascii="Calibri" w:hAnsi="Calibri"/>
          <w:lang w:val="en-US" w:eastAsia="de-DE"/>
        </w:rPr>
        <w:t>s</w:t>
      </w:r>
      <w:r>
        <w:rPr>
          <w:rFonts w:ascii="Calibri" w:hAnsi="Calibri"/>
          <w:lang w:eastAsia="de-DE"/>
        </w:rPr>
        <w:t xml:space="preserve"> the specific steps and methods for implementing VTS area and</w:t>
      </w:r>
      <w:r>
        <w:rPr>
          <w:rFonts w:ascii="Calibri" w:hAnsi="Calibri" w:hint="eastAsia"/>
          <w:lang w:val="en-US" w:eastAsia="zh-CN"/>
        </w:rPr>
        <w:t xml:space="preserve"> </w:t>
      </w:r>
      <w:r>
        <w:rPr>
          <w:rFonts w:ascii="Calibri" w:hAnsi="Calibri"/>
          <w:lang w:eastAsia="de-DE"/>
        </w:rPr>
        <w:t>sub-area</w:t>
      </w:r>
      <w:r>
        <w:rPr>
          <w:rFonts w:ascii="Calibri" w:hAnsi="Calibri" w:hint="eastAsia"/>
          <w:lang w:val="en-US" w:eastAsia="zh-CN"/>
        </w:rPr>
        <w:t>s</w:t>
      </w:r>
      <w:r>
        <w:rPr>
          <w:rFonts w:ascii="Calibri" w:hAnsi="Calibri"/>
          <w:lang w:eastAsia="de-DE"/>
        </w:rPr>
        <w:t xml:space="preserve"> delineation.</w:t>
      </w:r>
    </w:p>
    <w:p w14:paraId="4E039C12" w14:textId="5268BAC2" w:rsidR="001554EB" w:rsidRDefault="00735FC8">
      <w:pPr>
        <w:pStyle w:val="BodyText"/>
        <w:rPr>
          <w:rFonts w:ascii="Calibri" w:hAnsi="Calibri"/>
        </w:rPr>
      </w:pPr>
      <w:r>
        <w:rPr>
          <w:rFonts w:ascii="Calibri" w:hAnsi="Calibri"/>
        </w:rPr>
        <w:t>7</w:t>
      </w:r>
      <w:r>
        <w:rPr>
          <w:rFonts w:ascii="Calibri" w:hAnsi="Calibri"/>
        </w:rPr>
        <w:tab/>
        <w:t xml:space="preserve">Evaluation and adjustment of </w:t>
      </w:r>
      <w:r w:rsidR="00DE2DEA">
        <w:rPr>
          <w:rFonts w:ascii="Calibri" w:hAnsi="Calibri" w:hint="eastAsia"/>
          <w:lang w:eastAsia="zh-CN"/>
        </w:rPr>
        <w:t>the</w:t>
      </w:r>
      <w:r w:rsidR="00DE2DEA">
        <w:rPr>
          <w:rFonts w:ascii="Calibri" w:hAnsi="Calibri"/>
        </w:rPr>
        <w:t xml:space="preserve"> VTS </w:t>
      </w:r>
      <w:r>
        <w:rPr>
          <w:rFonts w:ascii="Calibri" w:hAnsi="Calibri"/>
        </w:rPr>
        <w:t>area delineation</w:t>
      </w:r>
    </w:p>
    <w:p w14:paraId="7B872B90" w14:textId="77777777" w:rsidR="001554EB" w:rsidRDefault="00735FC8">
      <w:pPr>
        <w:pStyle w:val="BodyText"/>
        <w:rPr>
          <w:rFonts w:ascii="Calibri" w:hAnsi="Calibri"/>
        </w:rPr>
      </w:pPr>
      <w:r>
        <w:rPr>
          <w:rFonts w:ascii="Calibri" w:hAnsi="Calibri"/>
          <w:lang w:val="en-US" w:eastAsia="de-DE"/>
        </w:rPr>
        <w:t xml:space="preserve">It outlines </w:t>
      </w:r>
      <w:r>
        <w:rPr>
          <w:rFonts w:ascii="Calibri" w:hAnsi="Calibri"/>
          <w:lang w:val="en-US" w:eastAsia="zh-CN"/>
        </w:rPr>
        <w:t>t</w:t>
      </w:r>
      <w:r>
        <w:rPr>
          <w:rFonts w:ascii="Calibri" w:hAnsi="Calibri"/>
          <w:lang w:eastAsia="de-DE"/>
        </w:rPr>
        <w:t xml:space="preserve">he steps and methods for evaluating the operation of VTS area </w:t>
      </w:r>
      <w:r>
        <w:rPr>
          <w:rFonts w:ascii="Calibri" w:hAnsi="Calibri"/>
          <w:lang w:val="en-US" w:eastAsia="de-DE"/>
        </w:rPr>
        <w:t xml:space="preserve">and sub-areas </w:t>
      </w:r>
      <w:r>
        <w:rPr>
          <w:rFonts w:ascii="Calibri" w:hAnsi="Calibri"/>
          <w:lang w:eastAsia="de-DE"/>
        </w:rPr>
        <w:t xml:space="preserve">that have been </w:t>
      </w:r>
      <w:r>
        <w:rPr>
          <w:rFonts w:ascii="Calibri" w:hAnsi="Calibri"/>
          <w:lang w:val="en-US" w:eastAsia="de-DE"/>
        </w:rPr>
        <w:t>delineated</w:t>
      </w:r>
      <w:r>
        <w:rPr>
          <w:rFonts w:ascii="Calibri" w:hAnsi="Calibri"/>
          <w:lang w:eastAsia="de-DE"/>
        </w:rPr>
        <w:t xml:space="preserve">, and the circumstances in which VTS areas </w:t>
      </w:r>
      <w:r>
        <w:rPr>
          <w:rFonts w:ascii="Calibri" w:hAnsi="Calibri"/>
          <w:lang w:val="en-US" w:eastAsia="de-DE"/>
        </w:rPr>
        <w:t>and/</w:t>
      </w:r>
      <w:r>
        <w:rPr>
          <w:rFonts w:ascii="Calibri" w:hAnsi="Calibri"/>
          <w:lang w:eastAsia="de-DE"/>
        </w:rPr>
        <w:t>or sub</w:t>
      </w:r>
      <w:r>
        <w:rPr>
          <w:rFonts w:ascii="Calibri" w:hAnsi="Calibri"/>
          <w:lang w:val="en-US" w:eastAsia="de-DE"/>
        </w:rPr>
        <w:t>-areas</w:t>
      </w:r>
      <w:r>
        <w:rPr>
          <w:rFonts w:ascii="Calibri" w:hAnsi="Calibri"/>
          <w:lang w:eastAsia="de-DE"/>
        </w:rPr>
        <w:t xml:space="preserve"> </w:t>
      </w:r>
      <w:r>
        <w:rPr>
          <w:rFonts w:ascii="Calibri" w:hAnsi="Calibri"/>
          <w:lang w:val="en-US" w:eastAsia="de-DE"/>
        </w:rPr>
        <w:t>should</w:t>
      </w:r>
      <w:r>
        <w:rPr>
          <w:rFonts w:ascii="Calibri" w:hAnsi="Calibri"/>
          <w:lang w:eastAsia="de-DE"/>
        </w:rPr>
        <w:t xml:space="preserve"> be</w:t>
      </w:r>
      <w:r>
        <w:rPr>
          <w:rFonts w:ascii="Calibri" w:hAnsi="Calibri"/>
          <w:lang w:val="en-US" w:eastAsia="de-DE"/>
        </w:rPr>
        <w:t xml:space="preserve"> changed</w:t>
      </w:r>
      <w:r>
        <w:rPr>
          <w:rFonts w:ascii="Calibri" w:hAnsi="Calibri"/>
          <w:lang w:eastAsia="de-DE"/>
        </w:rPr>
        <w:t>.</w:t>
      </w:r>
    </w:p>
    <w:p w14:paraId="0B9F2907" w14:textId="77777777" w:rsidR="001554EB" w:rsidRDefault="001554EB">
      <w:pPr>
        <w:pStyle w:val="BodyText"/>
        <w:rPr>
          <w:rFonts w:ascii="Calibri" w:hAnsi="Calibri"/>
        </w:rPr>
      </w:pPr>
    </w:p>
    <w:p w14:paraId="73F5B2CD" w14:textId="77777777" w:rsidR="001554EB" w:rsidRDefault="00735FC8">
      <w:pPr>
        <w:pStyle w:val="Heading1"/>
      </w:pPr>
      <w:r>
        <w:t>References</w:t>
      </w:r>
    </w:p>
    <w:p w14:paraId="33D96AB2" w14:textId="460B6254" w:rsidR="001554EB" w:rsidRDefault="00735FC8">
      <w:pPr>
        <w:pStyle w:val="References"/>
        <w:rPr>
          <w:rFonts w:ascii="Calibri" w:hAnsi="Calibri"/>
          <w:lang w:eastAsia="de-DE"/>
        </w:rPr>
      </w:pPr>
      <w:r>
        <w:rPr>
          <w:rFonts w:ascii="Calibri" w:hAnsi="Calibri"/>
        </w:rPr>
        <w:t>G1045 STAFFING LEVELS AT VTS CENTRES</w:t>
      </w:r>
    </w:p>
    <w:p w14:paraId="36DEEAD5" w14:textId="3D8CFEE1" w:rsidR="001554EB" w:rsidRDefault="00735FC8">
      <w:pPr>
        <w:pStyle w:val="References"/>
        <w:rPr>
          <w:rFonts w:ascii="Calibri" w:hAnsi="Calibri"/>
          <w:lang w:eastAsia="de-DE"/>
        </w:rPr>
      </w:pPr>
      <w:r>
        <w:rPr>
          <w:rFonts w:ascii="Calibri" w:hAnsi="Calibri"/>
          <w:lang w:eastAsia="de-DE"/>
        </w:rPr>
        <w:t>G1171 HUMAN FACTORS AND ERGONOMICS IN VTS</w:t>
      </w:r>
    </w:p>
    <w:p w14:paraId="20E3C1C0" w14:textId="77777777" w:rsidR="001554EB" w:rsidRDefault="00735FC8">
      <w:pPr>
        <w:pStyle w:val="References"/>
        <w:rPr>
          <w:rFonts w:ascii="Calibri" w:hAnsi="Calibri"/>
          <w:lang w:eastAsia="de-DE"/>
        </w:rPr>
      </w:pPr>
      <w:r>
        <w:rPr>
          <w:rFonts w:ascii="Calibri" w:hAnsi="Calibri"/>
          <w:lang w:eastAsia="de-DE"/>
        </w:rPr>
        <w:t>VTS Communication Regulation Port of Rotterdam. Rotterdam,2010</w:t>
      </w:r>
    </w:p>
    <w:p w14:paraId="5C8CAA74" w14:textId="77777777" w:rsidR="001554EB" w:rsidRDefault="00735FC8">
      <w:pPr>
        <w:pStyle w:val="Heading1"/>
      </w:pPr>
      <w:r>
        <w:t>Action requested of the Committee</w:t>
      </w:r>
    </w:p>
    <w:p w14:paraId="50A900E4" w14:textId="408B458E" w:rsidR="001554EB" w:rsidRPr="00DE2DEA" w:rsidRDefault="00735FC8" w:rsidP="008C7757">
      <w:pPr>
        <w:pStyle w:val="BodyText"/>
        <w:rPr>
          <w:rFonts w:ascii="Calibri" w:hAnsi="Calibri"/>
          <w:lang w:eastAsia="de-DE"/>
        </w:rPr>
      </w:pPr>
      <w:r>
        <w:rPr>
          <w:rFonts w:ascii="Calibri" w:hAnsi="Calibri"/>
          <w:lang w:eastAsia="de-DE"/>
        </w:rPr>
        <w:t xml:space="preserve">It is recommended that the </w:t>
      </w:r>
      <w:proofErr w:type="spellStart"/>
      <w:r>
        <w:rPr>
          <w:rFonts w:ascii="Calibri" w:hAnsi="Calibri"/>
          <w:lang w:eastAsia="de-DE"/>
        </w:rPr>
        <w:t>Commi</w:t>
      </w:r>
      <w:r>
        <w:rPr>
          <w:rFonts w:ascii="Calibri" w:hAnsi="Calibri" w:hint="eastAsia"/>
          <w:lang w:val="en-US" w:eastAsia="zh-CN"/>
        </w:rPr>
        <w:t>ttee</w:t>
      </w:r>
      <w:proofErr w:type="spellEnd"/>
      <w:r>
        <w:rPr>
          <w:rFonts w:ascii="Calibri" w:hAnsi="Calibri"/>
          <w:lang w:eastAsia="de-DE"/>
        </w:rPr>
        <w:t xml:space="preserve"> consider </w:t>
      </w:r>
      <w:proofErr w:type="spellStart"/>
      <w:r>
        <w:rPr>
          <w:rFonts w:ascii="Calibri" w:hAnsi="Calibri"/>
          <w:lang w:eastAsia="de-DE"/>
        </w:rPr>
        <w:t>th</w:t>
      </w:r>
      <w:proofErr w:type="spellEnd"/>
      <w:r>
        <w:rPr>
          <w:rFonts w:ascii="Calibri" w:hAnsi="Calibri"/>
          <w:lang w:val="en-US" w:eastAsia="de-DE"/>
        </w:rPr>
        <w:t>is document</w:t>
      </w:r>
      <w:r>
        <w:rPr>
          <w:rFonts w:ascii="Calibri" w:hAnsi="Calibri"/>
          <w:lang w:eastAsia="de-DE"/>
        </w:rPr>
        <w:t xml:space="preserve"> and the draft Guidelines </w:t>
      </w:r>
      <w:r>
        <w:rPr>
          <w:rFonts w:ascii="Calibri" w:hAnsi="Calibri"/>
          <w:lang w:val="en-US" w:eastAsia="de-DE"/>
        </w:rPr>
        <w:t xml:space="preserve">provided </w:t>
      </w:r>
      <w:r>
        <w:rPr>
          <w:rFonts w:ascii="Calibri" w:hAnsi="Calibri"/>
          <w:lang w:eastAsia="de-DE"/>
        </w:rPr>
        <w:t xml:space="preserve">in </w:t>
      </w:r>
      <w:proofErr w:type="spellStart"/>
      <w:r>
        <w:rPr>
          <w:rFonts w:ascii="Calibri" w:hAnsi="Calibri"/>
          <w:lang w:eastAsia="de-DE"/>
        </w:rPr>
        <w:t>th</w:t>
      </w:r>
      <w:proofErr w:type="spellEnd"/>
      <w:r>
        <w:rPr>
          <w:rFonts w:ascii="Calibri" w:hAnsi="Calibri"/>
          <w:lang w:val="en-US" w:eastAsia="de-DE"/>
        </w:rPr>
        <w:t>e</w:t>
      </w:r>
      <w:r>
        <w:rPr>
          <w:rFonts w:ascii="Calibri" w:hAnsi="Calibri"/>
          <w:lang w:eastAsia="de-DE"/>
        </w:rPr>
        <w:t xml:space="preserve"> </w:t>
      </w:r>
      <w:r w:rsidR="00DE2DEA">
        <w:rPr>
          <w:rFonts w:ascii="Calibri" w:hAnsi="Calibri"/>
          <w:lang w:eastAsia="de-DE"/>
        </w:rPr>
        <w:t>a</w:t>
      </w:r>
      <w:r>
        <w:rPr>
          <w:rFonts w:ascii="Calibri" w:hAnsi="Calibri"/>
          <w:lang w:eastAsia="de-DE"/>
        </w:rPr>
        <w:t xml:space="preserve">nnex when </w:t>
      </w:r>
      <w:r>
        <w:rPr>
          <w:rFonts w:ascii="Calibri" w:hAnsi="Calibri"/>
          <w:lang w:val="en-US" w:eastAsia="de-DE"/>
        </w:rPr>
        <w:t xml:space="preserve">developing </w:t>
      </w:r>
      <w:r>
        <w:rPr>
          <w:rFonts w:ascii="Calibri" w:hAnsi="Calibri"/>
          <w:lang w:eastAsia="de-DE"/>
        </w:rPr>
        <w:t>“Guidance on Delineating the VTS Area”.</w:t>
      </w:r>
    </w:p>
    <w:p w14:paraId="7E94117A" w14:textId="77777777" w:rsidR="001554EB" w:rsidRDefault="00735FC8" w:rsidP="008C7757">
      <w:pPr>
        <w:pStyle w:val="Annex"/>
        <w:numPr>
          <w:ilvl w:val="0"/>
          <w:numId w:val="0"/>
        </w:numPr>
        <w:ind w:left="360"/>
      </w:pPr>
      <w:r>
        <w:t>annex</w:t>
      </w:r>
    </w:p>
    <w:p w14:paraId="116F6FAE" w14:textId="0F656974" w:rsidR="001554EB" w:rsidRPr="008C7757" w:rsidRDefault="008C7757" w:rsidP="008C7757">
      <w:pPr>
        <w:pStyle w:val="BodyText"/>
        <w:rPr>
          <w:rFonts w:ascii="Calibri" w:hAnsi="Calibri"/>
          <w:lang w:eastAsia="de-DE"/>
        </w:rPr>
      </w:pPr>
      <w:r w:rsidRPr="008C7757">
        <w:rPr>
          <w:rFonts w:ascii="Calibri" w:hAnsi="Calibri"/>
          <w:lang w:eastAsia="de-DE"/>
        </w:rPr>
        <w:t xml:space="preserve">8.1.1.1 </w:t>
      </w:r>
      <w:r w:rsidR="00735FC8" w:rsidRPr="008C7757">
        <w:rPr>
          <w:rFonts w:ascii="Calibri" w:hAnsi="Calibri"/>
          <w:lang w:eastAsia="de-DE"/>
        </w:rPr>
        <w:t>Draft GXXXX on Delineating the VTS Area</w:t>
      </w:r>
    </w:p>
    <w:sectPr w:rsidR="001554EB" w:rsidRPr="008C7757">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2877F" w14:textId="77777777" w:rsidR="00E40742" w:rsidRDefault="00E40742">
      <w:r>
        <w:separator/>
      </w:r>
    </w:p>
  </w:endnote>
  <w:endnote w:type="continuationSeparator" w:id="0">
    <w:p w14:paraId="65DEC561" w14:textId="77777777" w:rsidR="00E40742" w:rsidRDefault="00E40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E91C2" w14:textId="63E39C41" w:rsidR="001554EB" w:rsidRDefault="00735FC8">
    <w:pPr>
      <w:pStyle w:val="Footer"/>
      <w:rPr>
        <w:rFonts w:ascii="Calibri" w:hAnsi="Calibri"/>
      </w:rPr>
    </w:pPr>
    <w:r w:rsidRPr="00735FC8">
      <w:rPr>
        <w:rFonts w:ascii="Calibri" w:hAnsi="Calibri"/>
        <w:sz w:val="20"/>
        <w:szCs w:val="20"/>
      </w:rPr>
      <w:t>Proposal for Developing Guidance on Delineating the VTS Area</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9C59D" w14:textId="77777777" w:rsidR="00E40742" w:rsidRDefault="00E40742">
      <w:r>
        <w:separator/>
      </w:r>
    </w:p>
  </w:footnote>
  <w:footnote w:type="continuationSeparator" w:id="0">
    <w:p w14:paraId="6B24CBAA" w14:textId="77777777" w:rsidR="00E40742" w:rsidRDefault="00E40742">
      <w:r>
        <w:continuationSeparator/>
      </w:r>
    </w:p>
  </w:footnote>
  <w:footnote w:id="1">
    <w:p w14:paraId="225DF233" w14:textId="77777777" w:rsidR="001554EB" w:rsidRDefault="00735FC8">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09215FAE" w14:textId="77777777" w:rsidR="001554EB" w:rsidRDefault="00735FC8">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53ED3" w14:textId="07D67A77" w:rsidR="001554EB" w:rsidRDefault="00735FC8">
    <w:pPr>
      <w:pStyle w:val="Header"/>
      <w:jc w:val="right"/>
    </w:pPr>
    <w:r>
      <w:rPr>
        <w:noProof/>
      </w:rPr>
      <w:drawing>
        <wp:anchor distT="0" distB="0" distL="114300" distR="114300" simplePos="0" relativeHeight="251657216" behindDoc="0" locked="0" layoutInCell="1" allowOverlap="1" wp14:anchorId="12A19C32" wp14:editId="5CF1F53E">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862E2C70"/>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lang w:val="en-GB"/>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299270079">
    <w:abstractNumId w:val="2"/>
  </w:num>
  <w:num w:numId="2" w16cid:durableId="1231386735">
    <w:abstractNumId w:val="12"/>
  </w:num>
  <w:num w:numId="3" w16cid:durableId="1993898888">
    <w:abstractNumId w:val="8"/>
  </w:num>
  <w:num w:numId="4" w16cid:durableId="1890607971">
    <w:abstractNumId w:val="1"/>
  </w:num>
  <w:num w:numId="5" w16cid:durableId="1655986407">
    <w:abstractNumId w:val="14"/>
  </w:num>
  <w:num w:numId="6" w16cid:durableId="945963229">
    <w:abstractNumId w:val="10"/>
  </w:num>
  <w:num w:numId="7" w16cid:durableId="646786600">
    <w:abstractNumId w:val="9"/>
  </w:num>
  <w:num w:numId="8" w16cid:durableId="1534803295">
    <w:abstractNumId w:val="7"/>
  </w:num>
  <w:num w:numId="9" w16cid:durableId="1865358107">
    <w:abstractNumId w:val="13"/>
  </w:num>
  <w:num w:numId="10" w16cid:durableId="209457843">
    <w:abstractNumId w:val="6"/>
  </w:num>
  <w:num w:numId="11" w16cid:durableId="1956524765">
    <w:abstractNumId w:val="11"/>
  </w:num>
  <w:num w:numId="12" w16cid:durableId="1205022449">
    <w:abstractNumId w:val="3"/>
  </w:num>
  <w:num w:numId="13" w16cid:durableId="783185594">
    <w:abstractNumId w:val="4"/>
  </w:num>
  <w:num w:numId="14" w16cid:durableId="1475872115">
    <w:abstractNumId w:val="5"/>
  </w:num>
  <w:num w:numId="15" w16cid:durableId="1528257432">
    <w:abstractNumId w:val="0"/>
  </w:num>
  <w:num w:numId="16" w16cid:durableId="1561135999">
    <w:abstractNumId w:val="2"/>
    <w:lvlOverride w:ilvl="0">
      <w:startOverride w:val="8"/>
    </w:lvlOverride>
    <w:lvlOverride w:ilvl="1">
      <w:startOverride w:val="1"/>
    </w:lvlOverride>
    <w:lvlOverride w:ilvl="2">
      <w:startOverride w:val="1"/>
    </w:lvlOverride>
    <w:lvlOverride w:ilvl="3">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8FFD265A"/>
    <w:rsid w:val="FFEF70BD"/>
    <w:rsid w:val="000005D3"/>
    <w:rsid w:val="000049D8"/>
    <w:rsid w:val="00036A03"/>
    <w:rsid w:val="00036B9E"/>
    <w:rsid w:val="00037DF4"/>
    <w:rsid w:val="00045665"/>
    <w:rsid w:val="0004700E"/>
    <w:rsid w:val="00070C13"/>
    <w:rsid w:val="000715C9"/>
    <w:rsid w:val="00084F33"/>
    <w:rsid w:val="000A2309"/>
    <w:rsid w:val="000A77A7"/>
    <w:rsid w:val="000B1707"/>
    <w:rsid w:val="000C1B3E"/>
    <w:rsid w:val="000C349E"/>
    <w:rsid w:val="000F2584"/>
    <w:rsid w:val="000F72BA"/>
    <w:rsid w:val="00110AE7"/>
    <w:rsid w:val="00110C3F"/>
    <w:rsid w:val="00140E2D"/>
    <w:rsid w:val="00146867"/>
    <w:rsid w:val="00146E5F"/>
    <w:rsid w:val="001554EB"/>
    <w:rsid w:val="00177F4D"/>
    <w:rsid w:val="00180DDA"/>
    <w:rsid w:val="0018443A"/>
    <w:rsid w:val="001B2A2D"/>
    <w:rsid w:val="001B737D"/>
    <w:rsid w:val="001C4284"/>
    <w:rsid w:val="001C44A3"/>
    <w:rsid w:val="001E0E15"/>
    <w:rsid w:val="001F528A"/>
    <w:rsid w:val="001F704E"/>
    <w:rsid w:val="00200241"/>
    <w:rsid w:val="00201722"/>
    <w:rsid w:val="002125B0"/>
    <w:rsid w:val="00215BC5"/>
    <w:rsid w:val="002236FD"/>
    <w:rsid w:val="00230D88"/>
    <w:rsid w:val="00243228"/>
    <w:rsid w:val="00247C5E"/>
    <w:rsid w:val="00251483"/>
    <w:rsid w:val="00255CAA"/>
    <w:rsid w:val="00264305"/>
    <w:rsid w:val="00277BCC"/>
    <w:rsid w:val="002A0346"/>
    <w:rsid w:val="002A4487"/>
    <w:rsid w:val="002B49E9"/>
    <w:rsid w:val="002C632E"/>
    <w:rsid w:val="002D3E8B"/>
    <w:rsid w:val="002D4575"/>
    <w:rsid w:val="002D5C0C"/>
    <w:rsid w:val="002E03D1"/>
    <w:rsid w:val="002E6B74"/>
    <w:rsid w:val="002E6DC0"/>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47216"/>
    <w:rsid w:val="00454AB7"/>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76973"/>
    <w:rsid w:val="00590E05"/>
    <w:rsid w:val="005969F2"/>
    <w:rsid w:val="00597FAE"/>
    <w:rsid w:val="005B32A3"/>
    <w:rsid w:val="005C0D44"/>
    <w:rsid w:val="005C566C"/>
    <w:rsid w:val="005C7E69"/>
    <w:rsid w:val="005E262D"/>
    <w:rsid w:val="005F23D3"/>
    <w:rsid w:val="005F7E20"/>
    <w:rsid w:val="00605E43"/>
    <w:rsid w:val="006153BB"/>
    <w:rsid w:val="00624475"/>
    <w:rsid w:val="006652C3"/>
    <w:rsid w:val="006860F7"/>
    <w:rsid w:val="00691FD0"/>
    <w:rsid w:val="00692148"/>
    <w:rsid w:val="006A1A1E"/>
    <w:rsid w:val="006C5948"/>
    <w:rsid w:val="006F2A74"/>
    <w:rsid w:val="006F3FA2"/>
    <w:rsid w:val="007000D4"/>
    <w:rsid w:val="007118F5"/>
    <w:rsid w:val="00712AA4"/>
    <w:rsid w:val="007146C4"/>
    <w:rsid w:val="00721AA1"/>
    <w:rsid w:val="00724B67"/>
    <w:rsid w:val="00735FC8"/>
    <w:rsid w:val="007547F8"/>
    <w:rsid w:val="00765622"/>
    <w:rsid w:val="00770B6C"/>
    <w:rsid w:val="00783FEA"/>
    <w:rsid w:val="007A395D"/>
    <w:rsid w:val="007B6BD5"/>
    <w:rsid w:val="007C346C"/>
    <w:rsid w:val="007E6479"/>
    <w:rsid w:val="007F6E7D"/>
    <w:rsid w:val="0080294B"/>
    <w:rsid w:val="00810013"/>
    <w:rsid w:val="0082480E"/>
    <w:rsid w:val="00850293"/>
    <w:rsid w:val="00851373"/>
    <w:rsid w:val="00851BA6"/>
    <w:rsid w:val="0085654D"/>
    <w:rsid w:val="00861160"/>
    <w:rsid w:val="0086654F"/>
    <w:rsid w:val="0087698D"/>
    <w:rsid w:val="008A356F"/>
    <w:rsid w:val="008A4653"/>
    <w:rsid w:val="008A4717"/>
    <w:rsid w:val="008A50CC"/>
    <w:rsid w:val="008B3040"/>
    <w:rsid w:val="008C51F1"/>
    <w:rsid w:val="008C7757"/>
    <w:rsid w:val="008D1694"/>
    <w:rsid w:val="008D79CB"/>
    <w:rsid w:val="008F07BC"/>
    <w:rsid w:val="0092692B"/>
    <w:rsid w:val="00930561"/>
    <w:rsid w:val="00943E9C"/>
    <w:rsid w:val="00953F4D"/>
    <w:rsid w:val="00960BB8"/>
    <w:rsid w:val="00964F5C"/>
    <w:rsid w:val="009709DA"/>
    <w:rsid w:val="00973B57"/>
    <w:rsid w:val="00975900"/>
    <w:rsid w:val="009831C0"/>
    <w:rsid w:val="009834A5"/>
    <w:rsid w:val="0099161D"/>
    <w:rsid w:val="00A0389B"/>
    <w:rsid w:val="00A27C48"/>
    <w:rsid w:val="00A33A3C"/>
    <w:rsid w:val="00A446C9"/>
    <w:rsid w:val="00A635D6"/>
    <w:rsid w:val="00A8553A"/>
    <w:rsid w:val="00A93AED"/>
    <w:rsid w:val="00AB4973"/>
    <w:rsid w:val="00AD4CBC"/>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253B"/>
    <w:rsid w:val="00CD6A13"/>
    <w:rsid w:val="00CF1871"/>
    <w:rsid w:val="00D01874"/>
    <w:rsid w:val="00D019CE"/>
    <w:rsid w:val="00D1133E"/>
    <w:rsid w:val="00D17A34"/>
    <w:rsid w:val="00D17D8D"/>
    <w:rsid w:val="00D26628"/>
    <w:rsid w:val="00D332B3"/>
    <w:rsid w:val="00D55207"/>
    <w:rsid w:val="00D81801"/>
    <w:rsid w:val="00D92B45"/>
    <w:rsid w:val="00D95962"/>
    <w:rsid w:val="00DC389B"/>
    <w:rsid w:val="00DE2DEA"/>
    <w:rsid w:val="00DE2FEE"/>
    <w:rsid w:val="00DF1467"/>
    <w:rsid w:val="00DF56A1"/>
    <w:rsid w:val="00E00BE9"/>
    <w:rsid w:val="00E22A11"/>
    <w:rsid w:val="00E31E5C"/>
    <w:rsid w:val="00E40742"/>
    <w:rsid w:val="00E4357C"/>
    <w:rsid w:val="00E44DD2"/>
    <w:rsid w:val="00E558C3"/>
    <w:rsid w:val="00E55927"/>
    <w:rsid w:val="00E60540"/>
    <w:rsid w:val="00E729CE"/>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 w:val="0750124F"/>
    <w:rsid w:val="0753336C"/>
    <w:rsid w:val="0AC27E84"/>
    <w:rsid w:val="1CA64DF4"/>
    <w:rsid w:val="1CA727F1"/>
    <w:rsid w:val="23437D3E"/>
    <w:rsid w:val="3B5F6EA5"/>
    <w:rsid w:val="3D672041"/>
    <w:rsid w:val="4712605B"/>
    <w:rsid w:val="47215957"/>
    <w:rsid w:val="4A7544A3"/>
    <w:rsid w:val="54AF6350"/>
    <w:rsid w:val="58471C72"/>
    <w:rsid w:val="5FED5F7E"/>
    <w:rsid w:val="66E77BCB"/>
    <w:rsid w:val="69C6022E"/>
    <w:rsid w:val="7FF945C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435DEB"/>
  <w15:docId w15:val="{DE56CD70-F025-4025-B2AE-5756C693D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lang w:val="en-GB" w:eastAsia="en-GB"/>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styleId="Revision">
    <w:name w:val="Revision"/>
    <w:hidden/>
    <w:uiPriority w:val="99"/>
    <w:semiHidden/>
    <w:rsid w:val="00735FC8"/>
    <w:rPr>
      <w:rFonts w:ascii="Arial"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1170</Words>
  <Characters>6671</Characters>
  <Application>Microsoft Office Word</Application>
  <DocSecurity>0</DocSecurity>
  <Lines>55</Lines>
  <Paragraphs>15</Paragraphs>
  <ScaleCrop>false</ScaleCrop>
  <Company/>
  <LinksUpToDate>false</LinksUpToDate>
  <CharactersWithSpaces>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22</cp:revision>
  <dcterms:created xsi:type="dcterms:W3CDTF">2023-06-17T04:53:00Z</dcterms:created>
  <dcterms:modified xsi:type="dcterms:W3CDTF">2025-02-25T17:10:00Z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KSOTemplateDocerSaveRecord">
    <vt:lpwstr>eyJoZGlkIjoiMDVkZDFkMTlkOTZmOTE1YjE5MGU1NDU5OWNkZDM5YjQiLCJ1c2VySWQiOiI0ODk3ODk5NzkifQ==</vt:lpwstr>
  </property>
  <property fmtid="{D5CDD505-2E9C-101B-9397-08002B2CF9AE}" pid="6" name="KSOProductBuildVer">
    <vt:lpwstr>2052-11.8.2.10505</vt:lpwstr>
  </property>
  <property fmtid="{D5CDD505-2E9C-101B-9397-08002B2CF9AE}" pid="7" name="ICV">
    <vt:lpwstr>C348106A822D425EBC619ADDC2E7C09E_12</vt:lpwstr>
  </property>
</Properties>
</file>